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9AB" w:rsidRDefault="00411B25" w:rsidP="00BE4121">
      <w:pPr>
        <w:jc w:val="center"/>
      </w:pPr>
      <w:r>
        <w:rPr>
          <w:rFonts w:ascii="Times New Roman" w:hAnsi="Times New Roman" w:cs="Times New Roman"/>
          <w:noProof/>
          <w:sz w:val="24"/>
          <w:szCs w:val="24"/>
          <w:lang w:eastAsia="de-DE"/>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285750</wp:posOffset>
                </wp:positionV>
                <wp:extent cx="6739255" cy="1282065"/>
                <wp:effectExtent l="0" t="0" r="8255" b="0"/>
                <wp:wrapSquare wrapText="bothSides"/>
                <wp:docPr id="2" name="Textfeld 2"/>
                <wp:cNvGraphicFramePr/>
                <a:graphic xmlns:a="http://schemas.openxmlformats.org/drawingml/2006/main">
                  <a:graphicData uri="http://schemas.microsoft.com/office/word/2010/wordprocessingShape">
                    <wps:wsp>
                      <wps:cNvSpPr txBox="1"/>
                      <wps:spPr>
                        <a:xfrm>
                          <a:off x="0" y="0"/>
                          <a:ext cx="5979160" cy="1282065"/>
                        </a:xfrm>
                        <a:prstGeom prst="rect">
                          <a:avLst/>
                        </a:prstGeom>
                        <a:solidFill>
                          <a:schemeClr val="bg1">
                            <a:lumMod val="75000"/>
                          </a:schemeClr>
                        </a:solidFill>
                        <a:ln w="6350">
                          <a:noFill/>
                        </a:ln>
                        <a:effectLst/>
                      </wps:spPr>
                      <wps:txbx>
                        <w:txbxContent>
                          <w:p w:rsidR="00411B25" w:rsidRDefault="009D1799" w:rsidP="00411B25">
                            <w:pPr>
                              <w:pStyle w:val="Titel"/>
                              <w:rPr>
                                <w:rStyle w:val="TitelZchn"/>
                                <w:b/>
                                <w:caps/>
                                <w:lang w:val="de-DE"/>
                              </w:rPr>
                            </w:pPr>
                            <w:r>
                              <w:rPr>
                                <w:rStyle w:val="TitelZchn"/>
                                <w:b/>
                                <w:caps/>
                                <w:lang w:val="de-DE"/>
                              </w:rPr>
                              <w:t>ANNEX B</w:t>
                            </w:r>
                            <w:r w:rsidR="00411B25">
                              <w:rPr>
                                <w:rStyle w:val="TitelZchn"/>
                                <w:b/>
                                <w:caps/>
                                <w:lang w:val="de-DE"/>
                              </w:rPr>
                              <w:t xml:space="preserve"> ZUR MITTEILUNG GEMÄSS DEN ARTIKEL 11 (6-10) DER VERORDNUNG 648/2012 (EMIR) BETREFFEND DIE AUSNAHME FÜR GRUPPENINTERNE GESCHÄFTE VON DER BESICHERUNGSPFLICHT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0;margin-top:22.5pt;width:530.65pt;height:100.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" fillcolor="#bfbfbf [2412]" stroked="f" strokeweight=".5pt">
                <v:textbox>
                  <w:txbxContent>
                    <w:p w:rsidR="00411B25" w:rsidRDefault="009D1799" w:rsidP="00411B25">
                      <w:pPr>
                        <w:pStyle w:val="Titel"/>
                        <w:rPr>
                          <w:rStyle w:val="TitelZchn"/>
                          <w:b/>
                          <w:caps/>
                          <w:lang w:val="de-DE"/>
                        </w:rPr>
                      </w:pPr>
                      <w:r>
                        <w:rPr>
                          <w:rStyle w:val="TitelZchn"/>
                          <w:b/>
                          <w:caps/>
                          <w:lang w:val="de-DE"/>
                        </w:rPr>
                        <w:t>ANNEX B</w:t>
                      </w:r>
                      <w:r w:rsidR="00411B25">
                        <w:rPr>
                          <w:rStyle w:val="TitelZchn"/>
                          <w:b/>
                          <w:caps/>
                          <w:lang w:val="de-DE"/>
                        </w:rPr>
                        <w:t xml:space="preserve"> ZUR MITTEILUNG GEMÄSS DEN ARTIKEL 11 (6-10) DER VERORDNUNG 648/2012 (EMIR) BETREFFEND DIE AUSNAHME FÜR GRUPPENINTERNE GESCHÄFTE VON DER BESICHERUNGSPFLICHT</w:t>
                      </w:r>
                    </w:p>
                  </w:txbxContent>
                </v:textbox>
                <w10:wrap type="square"/>
              </v:shape>
            </w:pict>
          </mc:Fallback>
        </mc:AlternateContent>
      </w:r>
    </w:p>
    <w:p w:rsidR="00BD59AB" w:rsidRDefault="00BD59AB" w:rsidP="00BD59AB"/>
    <w:p w:rsidR="00BD59AB" w:rsidRPr="007940DD" w:rsidRDefault="00BD59AB" w:rsidP="00BD59AB">
      <w:pPr>
        <w:rPr>
          <w:rFonts w:ascii="Arial" w:hAnsi="Arial" w:cs="Arial"/>
          <w:b/>
          <w:u w:val="single"/>
        </w:rPr>
      </w:pPr>
      <w:r w:rsidRPr="007940DD">
        <w:rPr>
          <w:rFonts w:ascii="Arial" w:hAnsi="Arial" w:cs="Arial"/>
          <w:b/>
          <w:u w:val="single"/>
        </w:rPr>
        <w:t>Angaben zu Artikel 18 (2) delegierte Verordnung (EU) 149/2013</w:t>
      </w:r>
    </w:p>
    <w:p w:rsidR="00BD59AB" w:rsidRPr="007940DD" w:rsidRDefault="00BD59AB" w:rsidP="009D1799">
      <w:pPr>
        <w:jc w:val="both"/>
        <w:rPr>
          <w:rFonts w:ascii="Arial" w:hAnsi="Arial" w:cs="Arial"/>
        </w:rPr>
      </w:pPr>
      <w:r w:rsidRPr="007940DD">
        <w:rPr>
          <w:rFonts w:ascii="Arial" w:hAnsi="Arial" w:cs="Arial"/>
        </w:rPr>
        <w:t>Die Mitteilung an die zuständige Behörde mit den Einzelheiten des gruppeninternen Geschäfts erfolgt schriftlich und enthält u.a. folgende Angaben:</w:t>
      </w:r>
    </w:p>
    <w:p w:rsidR="00BD59AB" w:rsidRPr="007940DD" w:rsidRDefault="00BD59AB" w:rsidP="009D1799">
      <w:pPr>
        <w:pStyle w:val="Listenabsatz"/>
        <w:numPr>
          <w:ilvl w:val="0"/>
          <w:numId w:val="1"/>
        </w:numPr>
        <w:jc w:val="both"/>
        <w:rPr>
          <w:rFonts w:ascii="Arial" w:hAnsi="Arial" w:cs="Arial"/>
        </w:rPr>
      </w:pPr>
      <w:r w:rsidRPr="007940DD">
        <w:rPr>
          <w:rFonts w:ascii="Arial" w:hAnsi="Arial" w:cs="Arial"/>
        </w:rPr>
        <w:t>Im Rahmen ihres Antrags bzw. der Benachrichtigung der zuständigen Behörde übermittelt eine Gegenpartei außerdem zusätzliche Informationen, die belegen, dass die Bedingungen des Artikels 11 Absätze 6 bis 10 der Verordnung (EU) Nr. 648/2012 erfüllt sind. Diese Belege umfassen Kopien historische Transaktionsdaten.</w:t>
      </w:r>
    </w:p>
    <w:p w:rsidR="00BD59AB" w:rsidRPr="007940DD" w:rsidRDefault="00BD59AB" w:rsidP="009D1799">
      <w:pPr>
        <w:jc w:val="both"/>
        <w:rPr>
          <w:rFonts w:ascii="Arial" w:hAnsi="Arial" w:cs="Arial"/>
        </w:rPr>
      </w:pPr>
      <w:r w:rsidRPr="007940DD">
        <w:rPr>
          <w:rFonts w:ascii="Arial" w:hAnsi="Arial" w:cs="Arial"/>
        </w:rPr>
        <w:t xml:space="preserve">Bitte fügen Sie </w:t>
      </w:r>
      <w:r w:rsidR="00BE4121" w:rsidRPr="007940DD">
        <w:rPr>
          <w:rFonts w:ascii="Arial" w:hAnsi="Arial" w:cs="Arial"/>
        </w:rPr>
        <w:t>in den folgenden Tabellen</w:t>
      </w:r>
      <w:r w:rsidRPr="007940DD">
        <w:rPr>
          <w:rFonts w:ascii="Arial" w:hAnsi="Arial" w:cs="Arial"/>
        </w:rPr>
        <w:t xml:space="preserve"> eine Aufstellung historischer Daten bei. Dabei sollen die OTC-Derivategeschäfte aufgeführt werden, die zwischen den Gegenparteien in den letzten 12 Monaten in den Asset-Klassen, für die eine Ausnahme von der </w:t>
      </w:r>
      <w:proofErr w:type="spellStart"/>
      <w:r w:rsidRPr="007940DD">
        <w:rPr>
          <w:rFonts w:ascii="Arial" w:hAnsi="Arial" w:cs="Arial"/>
        </w:rPr>
        <w:t>Besicherungspflicht</w:t>
      </w:r>
      <w:proofErr w:type="spellEnd"/>
      <w:r w:rsidRPr="007940DD">
        <w:rPr>
          <w:rFonts w:ascii="Arial" w:hAnsi="Arial" w:cs="Arial"/>
        </w:rPr>
        <w:t xml:space="preserve"> beantragt wird, getätigt worden sind. Aus der Übersicht sollte jeweils das Brutto- und Nettonominalvolumen je Asset-Klasse auf Monatsbasis in Mio. EUR hervorgehen. Sollten solche Daten nicht für die letzten 12 Monate vorliegen, so stellen Sie bitte die Daten für den verfügbaren Zeitraum zusammen und legen dar, warum die Daten nicht 12 Monate umfassen.</w:t>
      </w:r>
    </w:p>
    <w:p w:rsidR="00A84D37" w:rsidRPr="007940DD" w:rsidRDefault="00A84D37" w:rsidP="009D1799">
      <w:pPr>
        <w:jc w:val="both"/>
        <w:rPr>
          <w:rFonts w:ascii="Arial" w:hAnsi="Arial" w:cs="Arial"/>
        </w:rPr>
      </w:pPr>
      <w:r w:rsidRPr="007940DD">
        <w:rPr>
          <w:rFonts w:ascii="Arial" w:hAnsi="Arial" w:cs="Arial"/>
        </w:rPr>
        <w:t>Das unten angegebene Format ist zu übernehmen, kann jedoch in anderen Formaten (z.B. Excel) übernommen werden.</w:t>
      </w:r>
    </w:p>
    <w:p w:rsidR="00BD59AB" w:rsidRPr="007940DD" w:rsidRDefault="00BD59AB" w:rsidP="009D1799">
      <w:pPr>
        <w:pStyle w:val="Listenabsatz"/>
        <w:jc w:val="both"/>
        <w:rPr>
          <w:rFonts w:ascii="Arial" w:hAnsi="Arial" w:cs="Arial"/>
        </w:rPr>
      </w:pPr>
    </w:p>
    <w:p w:rsidR="00BE132B" w:rsidRPr="007940DD" w:rsidRDefault="009D1799" w:rsidP="009D1799">
      <w:pPr>
        <w:jc w:val="both"/>
        <w:rPr>
          <w:rFonts w:ascii="Arial" w:hAnsi="Arial" w:cs="Arial"/>
          <w:b/>
          <w:i/>
          <w:sz w:val="16"/>
          <w:szCs w:val="16"/>
          <w:u w:val="single"/>
          <w:lang w:val="en-GB"/>
        </w:rPr>
      </w:pPr>
      <w:r w:rsidRPr="007940DD">
        <w:rPr>
          <w:rFonts w:ascii="Arial" w:hAnsi="Arial" w:cs="Arial"/>
          <w:b/>
          <w:i/>
          <w:sz w:val="16"/>
          <w:szCs w:val="16"/>
          <w:u w:val="single"/>
          <w:lang w:val="en-GB"/>
        </w:rPr>
        <w:t>Information regarding article 18(2) delegated regulation (EU) 149/2013</w:t>
      </w:r>
    </w:p>
    <w:p w:rsidR="00BE132B" w:rsidRPr="007940DD" w:rsidRDefault="009D1799" w:rsidP="009D1799">
      <w:pPr>
        <w:jc w:val="both"/>
        <w:rPr>
          <w:rFonts w:ascii="Arial" w:hAnsi="Arial" w:cs="Arial"/>
          <w:i/>
          <w:sz w:val="16"/>
          <w:szCs w:val="16"/>
          <w:lang w:val="en-GB"/>
        </w:rPr>
      </w:pPr>
      <w:r w:rsidRPr="007940DD">
        <w:rPr>
          <w:rFonts w:ascii="Arial" w:hAnsi="Arial" w:cs="Arial"/>
          <w:i/>
          <w:sz w:val="16"/>
          <w:szCs w:val="16"/>
          <w:lang w:val="en-GB"/>
        </w:rPr>
        <w:t>The application or notification to the competent authority of the details of the intragroup transaction shall include:</w:t>
      </w:r>
    </w:p>
    <w:p w:rsidR="00BE132B" w:rsidRPr="007940DD" w:rsidRDefault="009D1799" w:rsidP="009D1799">
      <w:pPr>
        <w:pStyle w:val="Listenabsatz"/>
        <w:numPr>
          <w:ilvl w:val="0"/>
          <w:numId w:val="1"/>
        </w:numPr>
        <w:jc w:val="both"/>
        <w:rPr>
          <w:rFonts w:ascii="Arial" w:hAnsi="Arial" w:cs="Arial"/>
          <w:i/>
          <w:sz w:val="16"/>
          <w:szCs w:val="16"/>
          <w:lang w:val="en-GB"/>
        </w:rPr>
      </w:pPr>
      <w:r w:rsidRPr="007940DD">
        <w:rPr>
          <w:rFonts w:ascii="Arial" w:hAnsi="Arial" w:cs="Arial"/>
          <w:i/>
          <w:sz w:val="16"/>
          <w:szCs w:val="16"/>
          <w:lang w:val="en-GB"/>
        </w:rPr>
        <w:t xml:space="preserve">As part of its application or notification to the relevant competent authority, a counterparty shall also submit supporting information evidencing that the conditions of Article 11(6) to (10) of Regulation (EU) No 648/2012 </w:t>
      </w:r>
      <w:proofErr w:type="gramStart"/>
      <w:r w:rsidRPr="007940DD">
        <w:rPr>
          <w:rFonts w:ascii="Arial" w:hAnsi="Arial" w:cs="Arial"/>
          <w:i/>
          <w:sz w:val="16"/>
          <w:szCs w:val="16"/>
          <w:lang w:val="en-GB"/>
        </w:rPr>
        <w:t>are fulfilled</w:t>
      </w:r>
      <w:proofErr w:type="gramEnd"/>
      <w:r w:rsidRPr="007940DD">
        <w:rPr>
          <w:rFonts w:ascii="Arial" w:hAnsi="Arial" w:cs="Arial"/>
          <w:i/>
          <w:sz w:val="16"/>
          <w:szCs w:val="16"/>
          <w:lang w:val="en-GB"/>
        </w:rPr>
        <w:t>. The supporting documents shall include historical transaction information.</w:t>
      </w:r>
    </w:p>
    <w:p w:rsidR="00BE132B" w:rsidRPr="007940DD" w:rsidRDefault="009D1799" w:rsidP="009D1799">
      <w:pPr>
        <w:jc w:val="both"/>
        <w:rPr>
          <w:rFonts w:ascii="Arial" w:hAnsi="Arial" w:cs="Arial"/>
          <w:i/>
          <w:sz w:val="16"/>
          <w:szCs w:val="16"/>
          <w:lang w:val="en-GB"/>
        </w:rPr>
      </w:pPr>
      <w:r w:rsidRPr="007940DD">
        <w:rPr>
          <w:rFonts w:ascii="Arial" w:hAnsi="Arial" w:cs="Arial"/>
          <w:i/>
          <w:sz w:val="16"/>
          <w:szCs w:val="16"/>
          <w:lang w:val="en-GB"/>
        </w:rPr>
        <w:t>The table below contains historic</w:t>
      </w:r>
      <w:r w:rsidR="009A1BE2" w:rsidRPr="007940DD">
        <w:rPr>
          <w:rFonts w:ascii="Arial" w:hAnsi="Arial" w:cs="Arial"/>
          <w:i/>
          <w:sz w:val="16"/>
          <w:szCs w:val="16"/>
          <w:lang w:val="en-GB"/>
        </w:rPr>
        <w:t>al transaction information on a</w:t>
      </w:r>
      <w:r w:rsidRPr="007940DD">
        <w:rPr>
          <w:rFonts w:ascii="Arial" w:hAnsi="Arial" w:cs="Arial"/>
          <w:i/>
          <w:sz w:val="16"/>
          <w:szCs w:val="16"/>
          <w:lang w:val="en-GB"/>
        </w:rPr>
        <w:t xml:space="preserve"> monthly basis for a </w:t>
      </w:r>
      <w:proofErr w:type="gramStart"/>
      <w:r w:rsidRPr="007940DD">
        <w:rPr>
          <w:rFonts w:ascii="Arial" w:hAnsi="Arial" w:cs="Arial"/>
          <w:i/>
          <w:sz w:val="16"/>
          <w:szCs w:val="16"/>
          <w:lang w:val="en-GB"/>
        </w:rPr>
        <w:t>time period</w:t>
      </w:r>
      <w:proofErr w:type="gramEnd"/>
      <w:r w:rsidRPr="007940DD">
        <w:rPr>
          <w:rFonts w:ascii="Arial" w:hAnsi="Arial" w:cs="Arial"/>
          <w:i/>
          <w:sz w:val="16"/>
          <w:szCs w:val="16"/>
          <w:lang w:val="en-GB"/>
        </w:rPr>
        <w:t xml:space="preserve"> of the last 12 months</w:t>
      </w:r>
      <w:r w:rsidR="007940DD">
        <w:rPr>
          <w:rFonts w:ascii="Arial" w:hAnsi="Arial" w:cs="Arial"/>
          <w:i/>
          <w:sz w:val="16"/>
          <w:szCs w:val="16"/>
          <w:lang w:val="en-GB"/>
        </w:rPr>
        <w:t xml:space="preserve"> (if not available, provide the data for a shorter period and state the reasons for that)</w:t>
      </w:r>
      <w:r w:rsidRPr="007940DD">
        <w:rPr>
          <w:rFonts w:ascii="Arial" w:hAnsi="Arial" w:cs="Arial"/>
          <w:i/>
          <w:sz w:val="16"/>
          <w:szCs w:val="16"/>
          <w:lang w:val="en-GB"/>
        </w:rPr>
        <w:t>:</w:t>
      </w:r>
    </w:p>
    <w:p w:rsidR="00BE132B" w:rsidRPr="009D1799" w:rsidRDefault="00BE132B" w:rsidP="00BE132B">
      <w:pPr>
        <w:pStyle w:val="Listenabsatz"/>
        <w:rPr>
          <w:lang w:val="en-GB"/>
        </w:rPr>
      </w:pPr>
    </w:p>
    <w:p w:rsidR="00BE132B" w:rsidRPr="009D1799" w:rsidRDefault="00BE132B" w:rsidP="00BE132B">
      <w:pPr>
        <w:pStyle w:val="Listenabsatz"/>
        <w:rPr>
          <w:lang w:val="en-GB"/>
        </w:rPr>
      </w:pPr>
    </w:p>
    <w:p w:rsidR="00BE132B" w:rsidRPr="009D1799" w:rsidRDefault="00BE132B" w:rsidP="00BE132B">
      <w:pPr>
        <w:pStyle w:val="Listenabsatz"/>
        <w:rPr>
          <w:lang w:val="en-GB"/>
        </w:rPr>
      </w:pPr>
    </w:p>
    <w:p w:rsidR="00BE132B" w:rsidRPr="009D1799" w:rsidRDefault="00BE132B" w:rsidP="00BE132B">
      <w:pPr>
        <w:pStyle w:val="Listenabsatz"/>
        <w:rPr>
          <w:lang w:val="en-GB"/>
        </w:rPr>
      </w:pPr>
    </w:p>
    <w:p w:rsidR="00BE132B" w:rsidRPr="009D1799" w:rsidRDefault="00BE132B" w:rsidP="00BE132B">
      <w:pPr>
        <w:pStyle w:val="Listenabsatz"/>
        <w:rPr>
          <w:lang w:val="en-GB"/>
        </w:rPr>
      </w:pPr>
      <w:bookmarkStart w:id="0" w:name="_GoBack"/>
      <w:bookmarkEnd w:id="0"/>
    </w:p>
    <w:tbl>
      <w:tblPr>
        <w:tblStyle w:val="Tabellenraster"/>
        <w:tblW w:w="0" w:type="auto"/>
        <w:tblLook w:val="04A0" w:firstRow="1" w:lastRow="0" w:firstColumn="1" w:lastColumn="0" w:noHBand="0" w:noVBand="1"/>
      </w:tblPr>
      <w:tblGrid>
        <w:gridCol w:w="1415"/>
        <w:gridCol w:w="1538"/>
        <w:gridCol w:w="966"/>
        <w:gridCol w:w="961"/>
        <w:gridCol w:w="938"/>
        <w:gridCol w:w="937"/>
        <w:gridCol w:w="952"/>
        <w:gridCol w:w="945"/>
        <w:gridCol w:w="938"/>
        <w:gridCol w:w="937"/>
        <w:gridCol w:w="938"/>
        <w:gridCol w:w="937"/>
        <w:gridCol w:w="939"/>
        <w:gridCol w:w="936"/>
      </w:tblGrid>
      <w:tr w:rsidR="00BE132B" w:rsidRPr="007940DD" w:rsidTr="008021F4">
        <w:tc>
          <w:tcPr>
            <w:tcW w:w="14277" w:type="dxa"/>
            <w:gridSpan w:val="14"/>
          </w:tcPr>
          <w:p w:rsidR="00BE132B" w:rsidRPr="007940DD" w:rsidRDefault="00BE132B" w:rsidP="00A84D37">
            <w:pPr>
              <w:jc w:val="center"/>
              <w:rPr>
                <w:rFonts w:ascii="Arial" w:hAnsi="Arial" w:cs="Arial"/>
                <w:b/>
                <w:lang w:val="en-GB"/>
              </w:rPr>
            </w:pPr>
            <w:r w:rsidRPr="007940DD">
              <w:rPr>
                <w:rFonts w:ascii="Arial" w:hAnsi="Arial" w:cs="Arial"/>
                <w:b/>
                <w:lang w:val="en-GB"/>
              </w:rPr>
              <w:t>Pairing: IGT Counterparty 1 – IGT Counterparty 2</w:t>
            </w:r>
          </w:p>
        </w:tc>
      </w:tr>
      <w:tr w:rsidR="00BE4121" w:rsidRPr="007940DD" w:rsidTr="00BE132B">
        <w:tc>
          <w:tcPr>
            <w:tcW w:w="216" w:type="dxa"/>
          </w:tcPr>
          <w:p w:rsidR="00BE132B" w:rsidRPr="007940DD" w:rsidRDefault="00BE4121" w:rsidP="00BD59AB">
            <w:pPr>
              <w:rPr>
                <w:rFonts w:ascii="Arial" w:hAnsi="Arial" w:cs="Arial"/>
                <w:b/>
                <w:lang w:val="en-GB"/>
              </w:rPr>
            </w:pPr>
            <w:proofErr w:type="spellStart"/>
            <w:r w:rsidRPr="007940DD">
              <w:rPr>
                <w:rFonts w:ascii="Arial" w:hAnsi="Arial" w:cs="Arial"/>
                <w:b/>
                <w:lang w:val="en-GB"/>
              </w:rPr>
              <w:t>Assetclass</w:t>
            </w:r>
            <w:proofErr w:type="spellEnd"/>
          </w:p>
        </w:tc>
        <w:tc>
          <w:tcPr>
            <w:tcW w:w="1833" w:type="dxa"/>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E4121">
            <w:pPr>
              <w:jc w:val="center"/>
              <w:rPr>
                <w:rFonts w:ascii="Arial" w:hAnsi="Arial" w:cs="Arial"/>
                <w:b/>
                <w:lang w:val="en-GB"/>
              </w:rPr>
            </w:pPr>
            <w:r w:rsidRPr="007940DD">
              <w:rPr>
                <w:rFonts w:ascii="Arial" w:hAnsi="Arial" w:cs="Arial"/>
                <w:b/>
                <w:lang w:val="en-GB"/>
              </w:rPr>
              <w:t>CO</w:t>
            </w:r>
            <w:r w:rsidR="0084439E">
              <w:rPr>
                <w:rFonts w:ascii="Arial" w:hAnsi="Arial" w:cs="Arial"/>
                <w:b/>
                <w:lang w:val="en-GB"/>
              </w:rPr>
              <w:t>MMODITY</w:t>
            </w:r>
          </w:p>
        </w:tc>
        <w:tc>
          <w:tcPr>
            <w:tcW w:w="2038" w:type="dxa"/>
            <w:gridSpan w:val="2"/>
          </w:tcPr>
          <w:p w:rsidR="00BE132B" w:rsidRPr="007940DD" w:rsidRDefault="00BE132B" w:rsidP="00BE4121">
            <w:pPr>
              <w:jc w:val="center"/>
              <w:rPr>
                <w:rFonts w:ascii="Arial" w:hAnsi="Arial" w:cs="Arial"/>
                <w:b/>
                <w:lang w:val="en-GB"/>
              </w:rPr>
            </w:pPr>
            <w:r w:rsidRPr="007940DD">
              <w:rPr>
                <w:rFonts w:ascii="Arial" w:hAnsi="Arial" w:cs="Arial"/>
                <w:b/>
                <w:lang w:val="en-GB"/>
              </w:rPr>
              <w:t>CR</w:t>
            </w:r>
            <w:r w:rsidR="0084439E">
              <w:rPr>
                <w:rFonts w:ascii="Arial" w:hAnsi="Arial" w:cs="Arial"/>
                <w:b/>
                <w:lang w:val="en-GB"/>
              </w:rPr>
              <w:t>EDIT</w:t>
            </w:r>
          </w:p>
        </w:tc>
        <w:tc>
          <w:tcPr>
            <w:tcW w:w="2038" w:type="dxa"/>
            <w:gridSpan w:val="2"/>
          </w:tcPr>
          <w:p w:rsidR="00BE132B" w:rsidRPr="007940DD" w:rsidRDefault="00BE132B" w:rsidP="00BE4121">
            <w:pPr>
              <w:jc w:val="center"/>
              <w:rPr>
                <w:rFonts w:ascii="Arial" w:hAnsi="Arial" w:cs="Arial"/>
                <w:b/>
                <w:lang w:val="en-GB"/>
              </w:rPr>
            </w:pPr>
            <w:r w:rsidRPr="007940DD">
              <w:rPr>
                <w:rFonts w:ascii="Arial" w:hAnsi="Arial" w:cs="Arial"/>
                <w:b/>
                <w:lang w:val="en-GB"/>
              </w:rPr>
              <w:t>CU</w:t>
            </w:r>
            <w:r w:rsidR="0084439E">
              <w:rPr>
                <w:rFonts w:ascii="Arial" w:hAnsi="Arial" w:cs="Arial"/>
                <w:b/>
                <w:lang w:val="en-GB"/>
              </w:rPr>
              <w:t>RRENCY</w:t>
            </w:r>
          </w:p>
        </w:tc>
        <w:tc>
          <w:tcPr>
            <w:tcW w:w="2038" w:type="dxa"/>
            <w:gridSpan w:val="2"/>
          </w:tcPr>
          <w:p w:rsidR="00BE132B" w:rsidRPr="007940DD" w:rsidRDefault="00BE132B" w:rsidP="00BE4121">
            <w:pPr>
              <w:jc w:val="center"/>
              <w:rPr>
                <w:rFonts w:ascii="Arial" w:hAnsi="Arial" w:cs="Arial"/>
                <w:b/>
                <w:lang w:val="en-GB"/>
              </w:rPr>
            </w:pPr>
            <w:r w:rsidRPr="007940DD">
              <w:rPr>
                <w:rFonts w:ascii="Arial" w:hAnsi="Arial" w:cs="Arial"/>
                <w:b/>
                <w:lang w:val="en-GB"/>
              </w:rPr>
              <w:t>EQ</w:t>
            </w:r>
            <w:r w:rsidR="0084439E">
              <w:rPr>
                <w:rFonts w:ascii="Arial" w:hAnsi="Arial" w:cs="Arial"/>
                <w:b/>
                <w:lang w:val="en-GB"/>
              </w:rPr>
              <w:t>UITY</w:t>
            </w:r>
          </w:p>
        </w:tc>
        <w:tc>
          <w:tcPr>
            <w:tcW w:w="2038" w:type="dxa"/>
            <w:gridSpan w:val="2"/>
          </w:tcPr>
          <w:p w:rsidR="00BE132B" w:rsidRPr="007940DD" w:rsidRDefault="0084439E" w:rsidP="00BE4121">
            <w:pPr>
              <w:jc w:val="center"/>
              <w:rPr>
                <w:rFonts w:ascii="Arial" w:hAnsi="Arial" w:cs="Arial"/>
                <w:b/>
                <w:lang w:val="en-GB"/>
              </w:rPr>
            </w:pPr>
            <w:r>
              <w:rPr>
                <w:rFonts w:ascii="Arial" w:hAnsi="Arial" w:cs="Arial"/>
                <w:b/>
                <w:lang w:val="en-GB"/>
              </w:rPr>
              <w:t>INTEREST RATE</w:t>
            </w:r>
          </w:p>
        </w:tc>
        <w:tc>
          <w:tcPr>
            <w:tcW w:w="2038" w:type="dxa"/>
            <w:gridSpan w:val="2"/>
          </w:tcPr>
          <w:p w:rsidR="00BE132B" w:rsidRPr="007940DD" w:rsidRDefault="00BE132B" w:rsidP="00BE4121">
            <w:pPr>
              <w:jc w:val="center"/>
              <w:rPr>
                <w:rFonts w:ascii="Arial" w:hAnsi="Arial" w:cs="Arial"/>
                <w:b/>
                <w:lang w:val="en-GB"/>
              </w:rPr>
            </w:pPr>
            <w:r w:rsidRPr="007940DD">
              <w:rPr>
                <w:rFonts w:ascii="Arial" w:hAnsi="Arial" w:cs="Arial"/>
                <w:b/>
                <w:lang w:val="en-GB"/>
              </w:rPr>
              <w:t>OT</w:t>
            </w:r>
            <w:r w:rsidR="0084439E">
              <w:rPr>
                <w:rFonts w:ascii="Arial" w:hAnsi="Arial" w:cs="Arial"/>
                <w:b/>
                <w:lang w:val="en-GB"/>
              </w:rPr>
              <w:t>HER</w:t>
            </w:r>
          </w:p>
        </w:tc>
      </w:tr>
      <w:tr w:rsidR="00BE4121" w:rsidRPr="007940DD" w:rsidTr="00BE132B">
        <w:tc>
          <w:tcPr>
            <w:tcW w:w="216" w:type="dxa"/>
          </w:tcPr>
          <w:p w:rsidR="00BE132B" w:rsidRPr="007940DD" w:rsidRDefault="00BE4121" w:rsidP="00BE132B">
            <w:pPr>
              <w:rPr>
                <w:rFonts w:ascii="Arial" w:hAnsi="Arial" w:cs="Arial"/>
                <w:b/>
                <w:lang w:val="en-GB"/>
              </w:rPr>
            </w:pPr>
            <w:r w:rsidRPr="007940DD">
              <w:rPr>
                <w:rFonts w:ascii="Arial" w:hAnsi="Arial" w:cs="Arial"/>
                <w:b/>
                <w:lang w:val="en-GB"/>
              </w:rPr>
              <w:t>Gross/Net</w:t>
            </w:r>
          </w:p>
        </w:tc>
        <w:tc>
          <w:tcPr>
            <w:tcW w:w="1833" w:type="dxa"/>
          </w:tcPr>
          <w:p w:rsidR="00BE132B" w:rsidRPr="007940DD" w:rsidRDefault="00BE132B" w:rsidP="00BE132B">
            <w:pPr>
              <w:rPr>
                <w:rFonts w:ascii="Arial" w:hAnsi="Arial" w:cs="Arial"/>
                <w:lang w:val="en-GB"/>
              </w:rPr>
            </w:pPr>
          </w:p>
        </w:tc>
        <w:tc>
          <w:tcPr>
            <w:tcW w:w="1018" w:type="dxa"/>
          </w:tcPr>
          <w:p w:rsidR="00BE132B" w:rsidRPr="007940DD" w:rsidRDefault="00BE132B" w:rsidP="00BE132B">
            <w:pPr>
              <w:rPr>
                <w:rFonts w:ascii="Arial" w:hAnsi="Arial" w:cs="Arial"/>
                <w:b/>
                <w:lang w:val="en-GB"/>
              </w:rPr>
            </w:pPr>
            <w:r w:rsidRPr="007940DD">
              <w:rPr>
                <w:rFonts w:ascii="Arial" w:hAnsi="Arial" w:cs="Arial"/>
                <w:b/>
                <w:lang w:val="en-GB"/>
              </w:rPr>
              <w:t>GNV</w:t>
            </w:r>
            <w:r w:rsidR="00BE4121" w:rsidRPr="007940DD">
              <w:rPr>
                <w:rStyle w:val="Funotenzeichen"/>
                <w:rFonts w:ascii="Arial" w:hAnsi="Arial" w:cs="Arial"/>
                <w:b/>
                <w:lang w:val="en-GB"/>
              </w:rPr>
              <w:footnoteReference w:id="1"/>
            </w:r>
          </w:p>
        </w:tc>
        <w:tc>
          <w:tcPr>
            <w:tcW w:w="1020" w:type="dxa"/>
          </w:tcPr>
          <w:p w:rsidR="00BE132B" w:rsidRPr="007940DD" w:rsidRDefault="00BE132B" w:rsidP="00BE132B">
            <w:pPr>
              <w:rPr>
                <w:rFonts w:ascii="Arial" w:hAnsi="Arial" w:cs="Arial"/>
                <w:b/>
                <w:lang w:val="en-GB"/>
              </w:rPr>
            </w:pPr>
            <w:r w:rsidRPr="007940DD">
              <w:rPr>
                <w:rFonts w:ascii="Arial" w:hAnsi="Arial" w:cs="Arial"/>
                <w:b/>
                <w:lang w:val="en-GB"/>
              </w:rPr>
              <w:t>NNV</w:t>
            </w:r>
            <w:r w:rsidR="00BE4121" w:rsidRPr="007940DD">
              <w:rPr>
                <w:rStyle w:val="Funotenzeichen"/>
                <w:rFonts w:ascii="Arial" w:hAnsi="Arial" w:cs="Arial"/>
                <w:b/>
                <w:lang w:val="en-GB"/>
              </w:rPr>
              <w:footnoteReference w:id="2"/>
            </w:r>
          </w:p>
        </w:tc>
        <w:tc>
          <w:tcPr>
            <w:tcW w:w="1018" w:type="dxa"/>
          </w:tcPr>
          <w:p w:rsidR="00BE132B" w:rsidRPr="007940DD" w:rsidRDefault="00BE132B" w:rsidP="00BE132B">
            <w:pPr>
              <w:rPr>
                <w:rFonts w:ascii="Arial" w:hAnsi="Arial" w:cs="Arial"/>
                <w:b/>
              </w:rPr>
            </w:pPr>
            <w:r w:rsidRPr="007940DD">
              <w:rPr>
                <w:rFonts w:ascii="Arial" w:hAnsi="Arial" w:cs="Arial"/>
                <w:b/>
              </w:rPr>
              <w:t>GNV</w:t>
            </w:r>
          </w:p>
        </w:tc>
        <w:tc>
          <w:tcPr>
            <w:tcW w:w="1020" w:type="dxa"/>
          </w:tcPr>
          <w:p w:rsidR="00BE132B" w:rsidRPr="007940DD" w:rsidRDefault="00BE132B" w:rsidP="00BE132B">
            <w:pPr>
              <w:rPr>
                <w:rFonts w:ascii="Arial" w:hAnsi="Arial" w:cs="Arial"/>
                <w:b/>
              </w:rPr>
            </w:pPr>
            <w:r w:rsidRPr="007940DD">
              <w:rPr>
                <w:rFonts w:ascii="Arial" w:hAnsi="Arial" w:cs="Arial"/>
                <w:b/>
              </w:rPr>
              <w:t>NNV</w:t>
            </w:r>
          </w:p>
        </w:tc>
        <w:tc>
          <w:tcPr>
            <w:tcW w:w="1018" w:type="dxa"/>
          </w:tcPr>
          <w:p w:rsidR="00BE132B" w:rsidRPr="007940DD" w:rsidRDefault="00BE132B" w:rsidP="00BE132B">
            <w:pPr>
              <w:rPr>
                <w:rFonts w:ascii="Arial" w:hAnsi="Arial" w:cs="Arial"/>
                <w:b/>
              </w:rPr>
            </w:pPr>
            <w:r w:rsidRPr="007940DD">
              <w:rPr>
                <w:rFonts w:ascii="Arial" w:hAnsi="Arial" w:cs="Arial"/>
                <w:b/>
              </w:rPr>
              <w:t>GNV</w:t>
            </w:r>
          </w:p>
        </w:tc>
        <w:tc>
          <w:tcPr>
            <w:tcW w:w="1020" w:type="dxa"/>
          </w:tcPr>
          <w:p w:rsidR="00BE132B" w:rsidRPr="007940DD" w:rsidRDefault="00BE132B" w:rsidP="00BE132B">
            <w:pPr>
              <w:rPr>
                <w:rFonts w:ascii="Arial" w:hAnsi="Arial" w:cs="Arial"/>
                <w:b/>
              </w:rPr>
            </w:pPr>
            <w:r w:rsidRPr="007940DD">
              <w:rPr>
                <w:rFonts w:ascii="Arial" w:hAnsi="Arial" w:cs="Arial"/>
                <w:b/>
              </w:rPr>
              <w:t>NNV</w:t>
            </w:r>
          </w:p>
        </w:tc>
        <w:tc>
          <w:tcPr>
            <w:tcW w:w="1018" w:type="dxa"/>
          </w:tcPr>
          <w:p w:rsidR="00BE132B" w:rsidRPr="007940DD" w:rsidRDefault="00BE132B" w:rsidP="00BE132B">
            <w:pPr>
              <w:rPr>
                <w:rFonts w:ascii="Arial" w:hAnsi="Arial" w:cs="Arial"/>
                <w:b/>
              </w:rPr>
            </w:pPr>
            <w:r w:rsidRPr="007940DD">
              <w:rPr>
                <w:rFonts w:ascii="Arial" w:hAnsi="Arial" w:cs="Arial"/>
                <w:b/>
              </w:rPr>
              <w:t>GNV</w:t>
            </w:r>
          </w:p>
        </w:tc>
        <w:tc>
          <w:tcPr>
            <w:tcW w:w="1020" w:type="dxa"/>
          </w:tcPr>
          <w:p w:rsidR="00BE132B" w:rsidRPr="007940DD" w:rsidRDefault="00BE132B" w:rsidP="00BE132B">
            <w:pPr>
              <w:rPr>
                <w:rFonts w:ascii="Arial" w:hAnsi="Arial" w:cs="Arial"/>
                <w:b/>
              </w:rPr>
            </w:pPr>
            <w:r w:rsidRPr="007940DD">
              <w:rPr>
                <w:rFonts w:ascii="Arial" w:hAnsi="Arial" w:cs="Arial"/>
                <w:b/>
              </w:rPr>
              <w:t>NNV</w:t>
            </w:r>
          </w:p>
        </w:tc>
        <w:tc>
          <w:tcPr>
            <w:tcW w:w="1018" w:type="dxa"/>
          </w:tcPr>
          <w:p w:rsidR="00BE132B" w:rsidRPr="007940DD" w:rsidRDefault="00BE132B" w:rsidP="00BE132B">
            <w:pPr>
              <w:rPr>
                <w:rFonts w:ascii="Arial" w:hAnsi="Arial" w:cs="Arial"/>
                <w:b/>
              </w:rPr>
            </w:pPr>
            <w:r w:rsidRPr="007940DD">
              <w:rPr>
                <w:rFonts w:ascii="Arial" w:hAnsi="Arial" w:cs="Arial"/>
                <w:b/>
              </w:rPr>
              <w:t>GNV</w:t>
            </w:r>
          </w:p>
        </w:tc>
        <w:tc>
          <w:tcPr>
            <w:tcW w:w="1020" w:type="dxa"/>
          </w:tcPr>
          <w:p w:rsidR="00BE132B" w:rsidRPr="007940DD" w:rsidRDefault="00BE132B" w:rsidP="00BE132B">
            <w:pPr>
              <w:rPr>
                <w:rFonts w:ascii="Arial" w:hAnsi="Arial" w:cs="Arial"/>
                <w:b/>
              </w:rPr>
            </w:pPr>
            <w:r w:rsidRPr="007940DD">
              <w:rPr>
                <w:rFonts w:ascii="Arial" w:hAnsi="Arial" w:cs="Arial"/>
                <w:b/>
              </w:rPr>
              <w:t>NNV</w:t>
            </w:r>
          </w:p>
        </w:tc>
        <w:tc>
          <w:tcPr>
            <w:tcW w:w="1019" w:type="dxa"/>
          </w:tcPr>
          <w:p w:rsidR="00BE132B" w:rsidRPr="007940DD" w:rsidRDefault="00BE132B" w:rsidP="00BE132B">
            <w:pPr>
              <w:rPr>
                <w:rFonts w:ascii="Arial" w:hAnsi="Arial" w:cs="Arial"/>
                <w:b/>
              </w:rPr>
            </w:pPr>
            <w:r w:rsidRPr="007940DD">
              <w:rPr>
                <w:rFonts w:ascii="Arial" w:hAnsi="Arial" w:cs="Arial"/>
                <w:b/>
              </w:rPr>
              <w:t>GNV</w:t>
            </w:r>
          </w:p>
        </w:tc>
        <w:tc>
          <w:tcPr>
            <w:tcW w:w="1019" w:type="dxa"/>
          </w:tcPr>
          <w:p w:rsidR="00BE132B" w:rsidRPr="007940DD" w:rsidRDefault="00BE132B" w:rsidP="00BE132B">
            <w:pPr>
              <w:rPr>
                <w:rFonts w:ascii="Arial" w:hAnsi="Arial" w:cs="Arial"/>
                <w:b/>
              </w:rPr>
            </w:pPr>
            <w:r w:rsidRPr="007940DD">
              <w:rPr>
                <w:rFonts w:ascii="Arial" w:hAnsi="Arial" w:cs="Arial"/>
                <w:b/>
              </w:rPr>
              <w:t>NNV</w:t>
            </w:r>
          </w:p>
        </w:tc>
      </w:tr>
      <w:tr w:rsidR="00BE4121" w:rsidRPr="007940DD" w:rsidTr="00BE132B">
        <w:tc>
          <w:tcPr>
            <w:tcW w:w="216" w:type="dxa"/>
          </w:tcPr>
          <w:p w:rsidR="00BE132B" w:rsidRPr="007940DD" w:rsidRDefault="00BE132B" w:rsidP="00BD59AB">
            <w:pPr>
              <w:rPr>
                <w:rFonts w:ascii="Arial" w:hAnsi="Arial" w:cs="Arial"/>
                <w:b/>
                <w:lang w:val="en-GB"/>
              </w:rPr>
            </w:pPr>
            <w:r w:rsidRPr="007940DD">
              <w:rPr>
                <w:rFonts w:ascii="Arial" w:hAnsi="Arial" w:cs="Arial"/>
                <w:b/>
                <w:lang w:val="en-GB"/>
              </w:rPr>
              <w:t>Month</w:t>
            </w:r>
            <w:r w:rsidR="00BE4121" w:rsidRPr="007940DD">
              <w:rPr>
                <w:rFonts w:ascii="Arial" w:hAnsi="Arial" w:cs="Arial"/>
                <w:b/>
                <w:lang w:val="en-GB"/>
              </w:rPr>
              <w:t>/Year</w:t>
            </w: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Jan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Feb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Mar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Apr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May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Jun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Jul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Aug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132B" w:rsidP="00BD59AB">
            <w:pPr>
              <w:rPr>
                <w:rFonts w:ascii="Arial" w:hAnsi="Arial" w:cs="Arial"/>
                <w:lang w:val="en-GB"/>
              </w:rPr>
            </w:pPr>
            <w:r w:rsidRPr="007940DD">
              <w:rPr>
                <w:rFonts w:ascii="Arial" w:hAnsi="Arial" w:cs="Arial"/>
                <w:lang w:val="en-GB"/>
              </w:rPr>
              <w:t>Sep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4121" w:rsidP="00BD59AB">
            <w:pPr>
              <w:rPr>
                <w:rFonts w:ascii="Arial" w:hAnsi="Arial" w:cs="Arial"/>
                <w:lang w:val="en-GB"/>
              </w:rPr>
            </w:pPr>
            <w:r w:rsidRPr="007940DD">
              <w:rPr>
                <w:rFonts w:ascii="Arial" w:hAnsi="Arial" w:cs="Arial"/>
                <w:lang w:val="en-GB"/>
              </w:rPr>
              <w:t>Oct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132B" w:rsidRPr="007940DD" w:rsidRDefault="00BE132B" w:rsidP="00BD59AB">
            <w:pPr>
              <w:rPr>
                <w:rFonts w:ascii="Arial" w:hAnsi="Arial" w:cs="Arial"/>
                <w:lang w:val="en-GB"/>
              </w:rPr>
            </w:pPr>
          </w:p>
        </w:tc>
        <w:tc>
          <w:tcPr>
            <w:tcW w:w="1833" w:type="dxa"/>
          </w:tcPr>
          <w:p w:rsidR="00BE132B" w:rsidRPr="007940DD" w:rsidRDefault="00BE4121" w:rsidP="00BD59AB">
            <w:pPr>
              <w:rPr>
                <w:rFonts w:ascii="Arial" w:hAnsi="Arial" w:cs="Arial"/>
                <w:lang w:val="en-GB"/>
              </w:rPr>
            </w:pPr>
            <w:r w:rsidRPr="007940DD">
              <w:rPr>
                <w:rFonts w:ascii="Arial" w:hAnsi="Arial" w:cs="Arial"/>
                <w:lang w:val="en-GB"/>
              </w:rPr>
              <w:t>Nov xx</w:t>
            </w: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c>
          <w:tcPr>
            <w:tcW w:w="2038" w:type="dxa"/>
            <w:gridSpan w:val="2"/>
          </w:tcPr>
          <w:p w:rsidR="00BE132B" w:rsidRPr="007940DD" w:rsidRDefault="00BE132B" w:rsidP="00BD59AB">
            <w:pPr>
              <w:rPr>
                <w:rFonts w:ascii="Arial" w:hAnsi="Arial" w:cs="Arial"/>
                <w:lang w:val="en-GB"/>
              </w:rPr>
            </w:pPr>
          </w:p>
        </w:tc>
      </w:tr>
      <w:tr w:rsidR="00BE4121" w:rsidRPr="007940DD" w:rsidTr="00BE132B">
        <w:tc>
          <w:tcPr>
            <w:tcW w:w="216" w:type="dxa"/>
          </w:tcPr>
          <w:p w:rsidR="00BE4121" w:rsidRPr="007940DD" w:rsidRDefault="00BE4121" w:rsidP="00BD59AB">
            <w:pPr>
              <w:rPr>
                <w:rFonts w:ascii="Arial" w:hAnsi="Arial" w:cs="Arial"/>
                <w:lang w:val="en-GB"/>
              </w:rPr>
            </w:pPr>
          </w:p>
        </w:tc>
        <w:tc>
          <w:tcPr>
            <w:tcW w:w="1833" w:type="dxa"/>
          </w:tcPr>
          <w:p w:rsidR="00BE4121" w:rsidRPr="007940DD" w:rsidRDefault="00BE4121" w:rsidP="00BD59AB">
            <w:pPr>
              <w:rPr>
                <w:rFonts w:ascii="Arial" w:hAnsi="Arial" w:cs="Arial"/>
                <w:lang w:val="en-GB"/>
              </w:rPr>
            </w:pPr>
            <w:r w:rsidRPr="007940DD">
              <w:rPr>
                <w:rFonts w:ascii="Arial" w:hAnsi="Arial" w:cs="Arial"/>
                <w:lang w:val="en-GB"/>
              </w:rPr>
              <w:t>Dec xx</w:t>
            </w:r>
          </w:p>
        </w:tc>
        <w:tc>
          <w:tcPr>
            <w:tcW w:w="2038" w:type="dxa"/>
            <w:gridSpan w:val="2"/>
          </w:tcPr>
          <w:p w:rsidR="00BE4121" w:rsidRPr="007940DD" w:rsidRDefault="00BE4121" w:rsidP="00BD59AB">
            <w:pPr>
              <w:rPr>
                <w:rFonts w:ascii="Arial" w:hAnsi="Arial" w:cs="Arial"/>
                <w:lang w:val="en-GB"/>
              </w:rPr>
            </w:pPr>
          </w:p>
        </w:tc>
        <w:tc>
          <w:tcPr>
            <w:tcW w:w="2038" w:type="dxa"/>
            <w:gridSpan w:val="2"/>
          </w:tcPr>
          <w:p w:rsidR="00BE4121" w:rsidRPr="007940DD" w:rsidRDefault="00BE4121" w:rsidP="00BD59AB">
            <w:pPr>
              <w:rPr>
                <w:rFonts w:ascii="Arial" w:hAnsi="Arial" w:cs="Arial"/>
                <w:lang w:val="en-GB"/>
              </w:rPr>
            </w:pPr>
          </w:p>
        </w:tc>
        <w:tc>
          <w:tcPr>
            <w:tcW w:w="2038" w:type="dxa"/>
            <w:gridSpan w:val="2"/>
          </w:tcPr>
          <w:p w:rsidR="00BE4121" w:rsidRPr="007940DD" w:rsidRDefault="00BE4121" w:rsidP="00BD59AB">
            <w:pPr>
              <w:rPr>
                <w:rFonts w:ascii="Arial" w:hAnsi="Arial" w:cs="Arial"/>
                <w:lang w:val="en-GB"/>
              </w:rPr>
            </w:pPr>
          </w:p>
        </w:tc>
        <w:tc>
          <w:tcPr>
            <w:tcW w:w="2038" w:type="dxa"/>
            <w:gridSpan w:val="2"/>
          </w:tcPr>
          <w:p w:rsidR="00BE4121" w:rsidRPr="007940DD" w:rsidRDefault="00BE4121" w:rsidP="00BD59AB">
            <w:pPr>
              <w:rPr>
                <w:rFonts w:ascii="Arial" w:hAnsi="Arial" w:cs="Arial"/>
                <w:lang w:val="en-GB"/>
              </w:rPr>
            </w:pPr>
          </w:p>
        </w:tc>
        <w:tc>
          <w:tcPr>
            <w:tcW w:w="2038" w:type="dxa"/>
            <w:gridSpan w:val="2"/>
          </w:tcPr>
          <w:p w:rsidR="00BE4121" w:rsidRPr="007940DD" w:rsidRDefault="00BE4121" w:rsidP="00BD59AB">
            <w:pPr>
              <w:rPr>
                <w:rFonts w:ascii="Arial" w:hAnsi="Arial" w:cs="Arial"/>
                <w:lang w:val="en-GB"/>
              </w:rPr>
            </w:pPr>
          </w:p>
        </w:tc>
        <w:tc>
          <w:tcPr>
            <w:tcW w:w="2038" w:type="dxa"/>
            <w:gridSpan w:val="2"/>
          </w:tcPr>
          <w:p w:rsidR="00BE4121" w:rsidRPr="007940DD" w:rsidRDefault="00BE4121" w:rsidP="00BD59AB">
            <w:pPr>
              <w:rPr>
                <w:rFonts w:ascii="Arial" w:hAnsi="Arial" w:cs="Arial"/>
                <w:lang w:val="en-GB"/>
              </w:rPr>
            </w:pPr>
          </w:p>
        </w:tc>
      </w:tr>
    </w:tbl>
    <w:p w:rsidR="005863ED" w:rsidRDefault="005863ED"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tbl>
      <w:tblPr>
        <w:tblStyle w:val="Tabellenraster"/>
        <w:tblW w:w="0" w:type="auto"/>
        <w:tblLook w:val="04A0" w:firstRow="1" w:lastRow="0" w:firstColumn="1" w:lastColumn="0" w:noHBand="0" w:noVBand="1"/>
      </w:tblPr>
      <w:tblGrid>
        <w:gridCol w:w="1347"/>
        <w:gridCol w:w="1596"/>
        <w:gridCol w:w="943"/>
        <w:gridCol w:w="946"/>
        <w:gridCol w:w="943"/>
        <w:gridCol w:w="946"/>
        <w:gridCol w:w="943"/>
        <w:gridCol w:w="946"/>
        <w:gridCol w:w="943"/>
        <w:gridCol w:w="946"/>
        <w:gridCol w:w="943"/>
        <w:gridCol w:w="946"/>
        <w:gridCol w:w="944"/>
        <w:gridCol w:w="945"/>
      </w:tblGrid>
      <w:tr w:rsidR="00BE4121" w:rsidRPr="007940DD" w:rsidTr="00377716">
        <w:tc>
          <w:tcPr>
            <w:tcW w:w="14277" w:type="dxa"/>
            <w:gridSpan w:val="14"/>
          </w:tcPr>
          <w:p w:rsidR="00BE4121" w:rsidRPr="00BE4121" w:rsidRDefault="00BE4121" w:rsidP="00377716">
            <w:pPr>
              <w:jc w:val="center"/>
              <w:rPr>
                <w:b/>
                <w:lang w:val="en-GB"/>
              </w:rPr>
            </w:pPr>
            <w:r>
              <w:rPr>
                <w:b/>
                <w:lang w:val="en-GB"/>
              </w:rPr>
              <w:t>Pairing: IGT Counterparty 3</w:t>
            </w:r>
            <w:r w:rsidRPr="00BE4121">
              <w:rPr>
                <w:b/>
                <w:lang w:val="en-GB"/>
              </w:rPr>
              <w:t xml:space="preserve"> – IGT </w:t>
            </w:r>
            <w:r>
              <w:rPr>
                <w:b/>
                <w:lang w:val="en-GB"/>
              </w:rPr>
              <w:t>Counterparty 4</w:t>
            </w:r>
          </w:p>
        </w:tc>
      </w:tr>
      <w:tr w:rsidR="00BE4121" w:rsidRPr="00BE132B" w:rsidTr="00377716">
        <w:tc>
          <w:tcPr>
            <w:tcW w:w="216" w:type="dxa"/>
          </w:tcPr>
          <w:p w:rsidR="00BE4121" w:rsidRPr="00BE4121" w:rsidRDefault="00BE4121" w:rsidP="00377716">
            <w:pPr>
              <w:rPr>
                <w:b/>
                <w:lang w:val="en-GB"/>
              </w:rPr>
            </w:pPr>
            <w:proofErr w:type="spellStart"/>
            <w:r w:rsidRPr="00BE4121">
              <w:rPr>
                <w:b/>
                <w:lang w:val="en-GB"/>
              </w:rPr>
              <w:t>Assetclass</w:t>
            </w:r>
            <w:proofErr w:type="spellEnd"/>
          </w:p>
        </w:tc>
        <w:tc>
          <w:tcPr>
            <w:tcW w:w="1833" w:type="dxa"/>
          </w:tcPr>
          <w:p w:rsidR="00BE4121" w:rsidRPr="00BE132B" w:rsidRDefault="00BE4121" w:rsidP="00377716">
            <w:pPr>
              <w:rPr>
                <w:lang w:val="en-GB"/>
              </w:rPr>
            </w:pPr>
          </w:p>
        </w:tc>
        <w:tc>
          <w:tcPr>
            <w:tcW w:w="2038" w:type="dxa"/>
            <w:gridSpan w:val="2"/>
          </w:tcPr>
          <w:p w:rsidR="00BE4121" w:rsidRPr="00BE4121" w:rsidRDefault="00BE4121" w:rsidP="00377716">
            <w:pPr>
              <w:jc w:val="center"/>
              <w:rPr>
                <w:b/>
                <w:lang w:val="en-GB"/>
              </w:rPr>
            </w:pPr>
            <w:r w:rsidRPr="00BE4121">
              <w:rPr>
                <w:b/>
                <w:lang w:val="en-GB"/>
              </w:rPr>
              <w:t>CO</w:t>
            </w:r>
          </w:p>
        </w:tc>
        <w:tc>
          <w:tcPr>
            <w:tcW w:w="2038" w:type="dxa"/>
            <w:gridSpan w:val="2"/>
          </w:tcPr>
          <w:p w:rsidR="00BE4121" w:rsidRPr="00BE4121" w:rsidRDefault="00BE4121" w:rsidP="00377716">
            <w:pPr>
              <w:jc w:val="center"/>
              <w:rPr>
                <w:b/>
                <w:lang w:val="en-GB"/>
              </w:rPr>
            </w:pPr>
            <w:r w:rsidRPr="00BE4121">
              <w:rPr>
                <w:b/>
                <w:lang w:val="en-GB"/>
              </w:rPr>
              <w:t>CR</w:t>
            </w:r>
          </w:p>
        </w:tc>
        <w:tc>
          <w:tcPr>
            <w:tcW w:w="2038" w:type="dxa"/>
            <w:gridSpan w:val="2"/>
          </w:tcPr>
          <w:p w:rsidR="00BE4121" w:rsidRPr="00BE4121" w:rsidRDefault="00BE4121" w:rsidP="00377716">
            <w:pPr>
              <w:jc w:val="center"/>
              <w:rPr>
                <w:b/>
                <w:lang w:val="en-GB"/>
              </w:rPr>
            </w:pPr>
            <w:r w:rsidRPr="00BE4121">
              <w:rPr>
                <w:b/>
                <w:lang w:val="en-GB"/>
              </w:rPr>
              <w:t>CU</w:t>
            </w:r>
          </w:p>
        </w:tc>
        <w:tc>
          <w:tcPr>
            <w:tcW w:w="2038" w:type="dxa"/>
            <w:gridSpan w:val="2"/>
          </w:tcPr>
          <w:p w:rsidR="00BE4121" w:rsidRPr="00BE4121" w:rsidRDefault="00BE4121" w:rsidP="00377716">
            <w:pPr>
              <w:jc w:val="center"/>
              <w:rPr>
                <w:b/>
                <w:lang w:val="en-GB"/>
              </w:rPr>
            </w:pPr>
            <w:r w:rsidRPr="00BE4121">
              <w:rPr>
                <w:b/>
                <w:lang w:val="en-GB"/>
              </w:rPr>
              <w:t>EQ</w:t>
            </w:r>
          </w:p>
        </w:tc>
        <w:tc>
          <w:tcPr>
            <w:tcW w:w="2038" w:type="dxa"/>
            <w:gridSpan w:val="2"/>
          </w:tcPr>
          <w:p w:rsidR="00BE4121" w:rsidRPr="00BE4121" w:rsidRDefault="00BE4121" w:rsidP="00377716">
            <w:pPr>
              <w:jc w:val="center"/>
              <w:rPr>
                <w:b/>
                <w:lang w:val="en-GB"/>
              </w:rPr>
            </w:pPr>
            <w:r w:rsidRPr="00BE4121">
              <w:rPr>
                <w:b/>
                <w:lang w:val="en-GB"/>
              </w:rPr>
              <w:t>IR</w:t>
            </w:r>
          </w:p>
        </w:tc>
        <w:tc>
          <w:tcPr>
            <w:tcW w:w="2038" w:type="dxa"/>
            <w:gridSpan w:val="2"/>
          </w:tcPr>
          <w:p w:rsidR="00BE4121" w:rsidRPr="00BE4121" w:rsidRDefault="00BE4121" w:rsidP="00377716">
            <w:pPr>
              <w:jc w:val="center"/>
              <w:rPr>
                <w:b/>
                <w:lang w:val="en-GB"/>
              </w:rPr>
            </w:pPr>
            <w:r w:rsidRPr="00BE4121">
              <w:rPr>
                <w:b/>
                <w:lang w:val="en-GB"/>
              </w:rPr>
              <w:t>OT</w:t>
            </w:r>
          </w:p>
        </w:tc>
      </w:tr>
      <w:tr w:rsidR="00BE4121" w:rsidRPr="00BE132B" w:rsidTr="00377716">
        <w:tc>
          <w:tcPr>
            <w:tcW w:w="216" w:type="dxa"/>
          </w:tcPr>
          <w:p w:rsidR="00BE4121" w:rsidRPr="00BE4121" w:rsidRDefault="00BE4121" w:rsidP="00377716">
            <w:pPr>
              <w:rPr>
                <w:b/>
                <w:lang w:val="en-GB"/>
              </w:rPr>
            </w:pPr>
            <w:r w:rsidRPr="00BE4121">
              <w:rPr>
                <w:b/>
                <w:lang w:val="en-GB"/>
              </w:rPr>
              <w:t>Gross/Net</w:t>
            </w:r>
          </w:p>
        </w:tc>
        <w:tc>
          <w:tcPr>
            <w:tcW w:w="1833" w:type="dxa"/>
          </w:tcPr>
          <w:p w:rsidR="00BE4121" w:rsidRPr="00BE132B" w:rsidRDefault="00BE4121" w:rsidP="00377716">
            <w:pPr>
              <w:rPr>
                <w:lang w:val="en-GB"/>
              </w:rPr>
            </w:pPr>
          </w:p>
        </w:tc>
        <w:tc>
          <w:tcPr>
            <w:tcW w:w="1018" w:type="dxa"/>
          </w:tcPr>
          <w:p w:rsidR="00BE4121" w:rsidRPr="00BE4121" w:rsidRDefault="00BE4121" w:rsidP="00BE4121">
            <w:pPr>
              <w:rPr>
                <w:b/>
                <w:lang w:val="en-GB"/>
              </w:rPr>
            </w:pPr>
            <w:r w:rsidRPr="00BE4121">
              <w:rPr>
                <w:b/>
                <w:lang w:val="en-GB"/>
              </w:rPr>
              <w:t>GNV</w:t>
            </w:r>
          </w:p>
        </w:tc>
        <w:tc>
          <w:tcPr>
            <w:tcW w:w="1020" w:type="dxa"/>
          </w:tcPr>
          <w:p w:rsidR="00BE4121" w:rsidRPr="00BE4121" w:rsidRDefault="00BE4121" w:rsidP="00BE4121">
            <w:pPr>
              <w:rPr>
                <w:b/>
                <w:lang w:val="en-GB"/>
              </w:rPr>
            </w:pPr>
            <w:r w:rsidRPr="00BE4121">
              <w:rPr>
                <w:b/>
                <w:lang w:val="en-G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9" w:type="dxa"/>
          </w:tcPr>
          <w:p w:rsidR="00BE4121" w:rsidRPr="00BE4121" w:rsidRDefault="00BE4121" w:rsidP="00377716">
            <w:pPr>
              <w:rPr>
                <w:b/>
              </w:rPr>
            </w:pPr>
            <w:r w:rsidRPr="00BE4121">
              <w:rPr>
                <w:b/>
              </w:rPr>
              <w:t>GNV</w:t>
            </w:r>
          </w:p>
        </w:tc>
        <w:tc>
          <w:tcPr>
            <w:tcW w:w="1019" w:type="dxa"/>
          </w:tcPr>
          <w:p w:rsidR="00BE4121" w:rsidRPr="00BE4121" w:rsidRDefault="00BE4121" w:rsidP="00377716">
            <w:pPr>
              <w:rPr>
                <w:b/>
              </w:rPr>
            </w:pPr>
            <w:r w:rsidRPr="00BE4121">
              <w:rPr>
                <w:b/>
              </w:rPr>
              <w:t>NNV</w:t>
            </w:r>
          </w:p>
        </w:tc>
      </w:tr>
      <w:tr w:rsidR="00BE4121" w:rsidRPr="00BE132B" w:rsidTr="00377716">
        <w:tc>
          <w:tcPr>
            <w:tcW w:w="216" w:type="dxa"/>
          </w:tcPr>
          <w:p w:rsidR="00BE4121" w:rsidRPr="00BE4121" w:rsidRDefault="00BE4121" w:rsidP="00377716">
            <w:pPr>
              <w:rPr>
                <w:b/>
                <w:lang w:val="en-GB"/>
              </w:rPr>
            </w:pPr>
            <w:r w:rsidRPr="00BE4121">
              <w:rPr>
                <w:b/>
                <w:lang w:val="en-GB"/>
              </w:rPr>
              <w:t>Month/Year</w:t>
            </w:r>
          </w:p>
        </w:tc>
        <w:tc>
          <w:tcPr>
            <w:tcW w:w="1833" w:type="dxa"/>
          </w:tcPr>
          <w:p w:rsidR="00BE4121" w:rsidRPr="00BE132B" w:rsidRDefault="00BE4121" w:rsidP="00377716">
            <w:pPr>
              <w:rPr>
                <w:lang w:val="en-GB"/>
              </w:rPr>
            </w:pPr>
            <w:r>
              <w:rPr>
                <w:lang w:val="en-GB"/>
              </w:rPr>
              <w:t>Jan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Feb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Mar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Apr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May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Jun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Jul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Aug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Sep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Oct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Nov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Default="00BE4121" w:rsidP="00377716">
            <w:pPr>
              <w:rPr>
                <w:lang w:val="en-GB"/>
              </w:rPr>
            </w:pPr>
            <w:r>
              <w:rPr>
                <w:lang w:val="en-GB"/>
              </w:rPr>
              <w:t>Dec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bl>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p w:rsidR="00BE4121" w:rsidRDefault="00BE4121" w:rsidP="00BD59AB">
      <w:pPr>
        <w:rPr>
          <w:lang w:val="en-GB"/>
        </w:rPr>
      </w:pPr>
    </w:p>
    <w:tbl>
      <w:tblPr>
        <w:tblStyle w:val="Tabellenraster"/>
        <w:tblW w:w="0" w:type="auto"/>
        <w:tblLook w:val="04A0" w:firstRow="1" w:lastRow="0" w:firstColumn="1" w:lastColumn="0" w:noHBand="0" w:noVBand="1"/>
      </w:tblPr>
      <w:tblGrid>
        <w:gridCol w:w="1347"/>
        <w:gridCol w:w="1596"/>
        <w:gridCol w:w="943"/>
        <w:gridCol w:w="946"/>
        <w:gridCol w:w="943"/>
        <w:gridCol w:w="946"/>
        <w:gridCol w:w="943"/>
        <w:gridCol w:w="946"/>
        <w:gridCol w:w="943"/>
        <w:gridCol w:w="946"/>
        <w:gridCol w:w="943"/>
        <w:gridCol w:w="946"/>
        <w:gridCol w:w="944"/>
        <w:gridCol w:w="945"/>
      </w:tblGrid>
      <w:tr w:rsidR="00BE4121" w:rsidRPr="007940DD" w:rsidTr="00377716">
        <w:tc>
          <w:tcPr>
            <w:tcW w:w="14277" w:type="dxa"/>
            <w:gridSpan w:val="14"/>
          </w:tcPr>
          <w:p w:rsidR="00BE4121" w:rsidRPr="00BE4121" w:rsidRDefault="00BE4121" w:rsidP="00377716">
            <w:pPr>
              <w:jc w:val="center"/>
              <w:rPr>
                <w:b/>
                <w:lang w:val="en-GB"/>
              </w:rPr>
            </w:pPr>
            <w:r>
              <w:rPr>
                <w:b/>
                <w:lang w:val="en-GB"/>
              </w:rPr>
              <w:t>Pairing: IGT Counterparty 5</w:t>
            </w:r>
            <w:r w:rsidRPr="00BE4121">
              <w:rPr>
                <w:b/>
                <w:lang w:val="en-GB"/>
              </w:rPr>
              <w:t xml:space="preserve"> – IGT </w:t>
            </w:r>
            <w:r>
              <w:rPr>
                <w:b/>
                <w:lang w:val="en-GB"/>
              </w:rPr>
              <w:t>Counterparty 6</w:t>
            </w:r>
          </w:p>
        </w:tc>
      </w:tr>
      <w:tr w:rsidR="00BE4121" w:rsidRPr="00BE132B" w:rsidTr="00377716">
        <w:tc>
          <w:tcPr>
            <w:tcW w:w="216" w:type="dxa"/>
          </w:tcPr>
          <w:p w:rsidR="00BE4121" w:rsidRPr="00BE4121" w:rsidRDefault="00BE4121" w:rsidP="00377716">
            <w:pPr>
              <w:rPr>
                <w:b/>
                <w:lang w:val="en-GB"/>
              </w:rPr>
            </w:pPr>
            <w:proofErr w:type="spellStart"/>
            <w:r w:rsidRPr="00BE4121">
              <w:rPr>
                <w:b/>
                <w:lang w:val="en-GB"/>
              </w:rPr>
              <w:t>Assetclass</w:t>
            </w:r>
            <w:proofErr w:type="spellEnd"/>
          </w:p>
        </w:tc>
        <w:tc>
          <w:tcPr>
            <w:tcW w:w="1833" w:type="dxa"/>
          </w:tcPr>
          <w:p w:rsidR="00BE4121" w:rsidRPr="00BE132B" w:rsidRDefault="00BE4121" w:rsidP="00377716">
            <w:pPr>
              <w:rPr>
                <w:lang w:val="en-GB"/>
              </w:rPr>
            </w:pPr>
          </w:p>
        </w:tc>
        <w:tc>
          <w:tcPr>
            <w:tcW w:w="2038" w:type="dxa"/>
            <w:gridSpan w:val="2"/>
          </w:tcPr>
          <w:p w:rsidR="00BE4121" w:rsidRPr="00BE4121" w:rsidRDefault="00BE4121" w:rsidP="00377716">
            <w:pPr>
              <w:jc w:val="center"/>
              <w:rPr>
                <w:b/>
                <w:lang w:val="en-GB"/>
              </w:rPr>
            </w:pPr>
            <w:r w:rsidRPr="00BE4121">
              <w:rPr>
                <w:b/>
                <w:lang w:val="en-GB"/>
              </w:rPr>
              <w:t>CO</w:t>
            </w:r>
          </w:p>
        </w:tc>
        <w:tc>
          <w:tcPr>
            <w:tcW w:w="2038" w:type="dxa"/>
            <w:gridSpan w:val="2"/>
          </w:tcPr>
          <w:p w:rsidR="00BE4121" w:rsidRPr="00BE4121" w:rsidRDefault="00BE4121" w:rsidP="00377716">
            <w:pPr>
              <w:jc w:val="center"/>
              <w:rPr>
                <w:b/>
                <w:lang w:val="en-GB"/>
              </w:rPr>
            </w:pPr>
            <w:r w:rsidRPr="00BE4121">
              <w:rPr>
                <w:b/>
                <w:lang w:val="en-GB"/>
              </w:rPr>
              <w:t>CR</w:t>
            </w:r>
          </w:p>
        </w:tc>
        <w:tc>
          <w:tcPr>
            <w:tcW w:w="2038" w:type="dxa"/>
            <w:gridSpan w:val="2"/>
          </w:tcPr>
          <w:p w:rsidR="00BE4121" w:rsidRPr="00BE4121" w:rsidRDefault="00BE4121" w:rsidP="00377716">
            <w:pPr>
              <w:jc w:val="center"/>
              <w:rPr>
                <w:b/>
                <w:lang w:val="en-GB"/>
              </w:rPr>
            </w:pPr>
            <w:r w:rsidRPr="00BE4121">
              <w:rPr>
                <w:b/>
                <w:lang w:val="en-GB"/>
              </w:rPr>
              <w:t>CU</w:t>
            </w:r>
          </w:p>
        </w:tc>
        <w:tc>
          <w:tcPr>
            <w:tcW w:w="2038" w:type="dxa"/>
            <w:gridSpan w:val="2"/>
          </w:tcPr>
          <w:p w:rsidR="00BE4121" w:rsidRPr="00BE4121" w:rsidRDefault="00BE4121" w:rsidP="00377716">
            <w:pPr>
              <w:jc w:val="center"/>
              <w:rPr>
                <w:b/>
                <w:lang w:val="en-GB"/>
              </w:rPr>
            </w:pPr>
            <w:r w:rsidRPr="00BE4121">
              <w:rPr>
                <w:b/>
                <w:lang w:val="en-GB"/>
              </w:rPr>
              <w:t>EQ</w:t>
            </w:r>
          </w:p>
        </w:tc>
        <w:tc>
          <w:tcPr>
            <w:tcW w:w="2038" w:type="dxa"/>
            <w:gridSpan w:val="2"/>
          </w:tcPr>
          <w:p w:rsidR="00BE4121" w:rsidRPr="00BE4121" w:rsidRDefault="00BE4121" w:rsidP="00377716">
            <w:pPr>
              <w:jc w:val="center"/>
              <w:rPr>
                <w:b/>
                <w:lang w:val="en-GB"/>
              </w:rPr>
            </w:pPr>
            <w:r w:rsidRPr="00BE4121">
              <w:rPr>
                <w:b/>
                <w:lang w:val="en-GB"/>
              </w:rPr>
              <w:t>IR</w:t>
            </w:r>
          </w:p>
        </w:tc>
        <w:tc>
          <w:tcPr>
            <w:tcW w:w="2038" w:type="dxa"/>
            <w:gridSpan w:val="2"/>
          </w:tcPr>
          <w:p w:rsidR="00BE4121" w:rsidRPr="00BE4121" w:rsidRDefault="00BE4121" w:rsidP="00377716">
            <w:pPr>
              <w:jc w:val="center"/>
              <w:rPr>
                <w:b/>
                <w:lang w:val="en-GB"/>
              </w:rPr>
            </w:pPr>
            <w:r w:rsidRPr="00BE4121">
              <w:rPr>
                <w:b/>
                <w:lang w:val="en-GB"/>
              </w:rPr>
              <w:t>OT</w:t>
            </w:r>
          </w:p>
        </w:tc>
      </w:tr>
      <w:tr w:rsidR="00BE4121" w:rsidRPr="00BE132B" w:rsidTr="00377716">
        <w:tc>
          <w:tcPr>
            <w:tcW w:w="216" w:type="dxa"/>
          </w:tcPr>
          <w:p w:rsidR="00BE4121" w:rsidRPr="00BE4121" w:rsidRDefault="00BE4121" w:rsidP="00377716">
            <w:pPr>
              <w:rPr>
                <w:b/>
                <w:lang w:val="en-GB"/>
              </w:rPr>
            </w:pPr>
            <w:r w:rsidRPr="00BE4121">
              <w:rPr>
                <w:b/>
                <w:lang w:val="en-GB"/>
              </w:rPr>
              <w:t>Gross/Net</w:t>
            </w:r>
          </w:p>
        </w:tc>
        <w:tc>
          <w:tcPr>
            <w:tcW w:w="1833" w:type="dxa"/>
          </w:tcPr>
          <w:p w:rsidR="00BE4121" w:rsidRPr="00BE132B" w:rsidRDefault="00BE4121" w:rsidP="00377716">
            <w:pPr>
              <w:rPr>
                <w:lang w:val="en-GB"/>
              </w:rPr>
            </w:pPr>
          </w:p>
        </w:tc>
        <w:tc>
          <w:tcPr>
            <w:tcW w:w="1018" w:type="dxa"/>
          </w:tcPr>
          <w:p w:rsidR="00BE4121" w:rsidRPr="00BE4121" w:rsidRDefault="00BE4121" w:rsidP="00377716">
            <w:pPr>
              <w:rPr>
                <w:b/>
                <w:lang w:val="en-GB"/>
              </w:rPr>
            </w:pPr>
            <w:r w:rsidRPr="00BE4121">
              <w:rPr>
                <w:b/>
                <w:lang w:val="en-GB"/>
              </w:rPr>
              <w:t>GNV</w:t>
            </w:r>
          </w:p>
        </w:tc>
        <w:tc>
          <w:tcPr>
            <w:tcW w:w="1020" w:type="dxa"/>
          </w:tcPr>
          <w:p w:rsidR="00BE4121" w:rsidRPr="00BE4121" w:rsidRDefault="00BE4121" w:rsidP="00377716">
            <w:pPr>
              <w:rPr>
                <w:b/>
                <w:lang w:val="en-GB"/>
              </w:rPr>
            </w:pPr>
            <w:r w:rsidRPr="00BE4121">
              <w:rPr>
                <w:b/>
                <w:lang w:val="en-G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8" w:type="dxa"/>
          </w:tcPr>
          <w:p w:rsidR="00BE4121" w:rsidRPr="00BE4121" w:rsidRDefault="00BE4121" w:rsidP="00377716">
            <w:pPr>
              <w:rPr>
                <w:b/>
              </w:rPr>
            </w:pPr>
            <w:r w:rsidRPr="00BE4121">
              <w:rPr>
                <w:b/>
              </w:rPr>
              <w:t>GNV</w:t>
            </w:r>
          </w:p>
        </w:tc>
        <w:tc>
          <w:tcPr>
            <w:tcW w:w="1020" w:type="dxa"/>
          </w:tcPr>
          <w:p w:rsidR="00BE4121" w:rsidRPr="00BE4121" w:rsidRDefault="00BE4121" w:rsidP="00377716">
            <w:pPr>
              <w:rPr>
                <w:b/>
              </w:rPr>
            </w:pPr>
            <w:r w:rsidRPr="00BE4121">
              <w:rPr>
                <w:b/>
              </w:rPr>
              <w:t>NNV</w:t>
            </w:r>
          </w:p>
        </w:tc>
        <w:tc>
          <w:tcPr>
            <w:tcW w:w="1019" w:type="dxa"/>
          </w:tcPr>
          <w:p w:rsidR="00BE4121" w:rsidRPr="00BE4121" w:rsidRDefault="00BE4121" w:rsidP="00377716">
            <w:pPr>
              <w:rPr>
                <w:b/>
              </w:rPr>
            </w:pPr>
            <w:r w:rsidRPr="00BE4121">
              <w:rPr>
                <w:b/>
              </w:rPr>
              <w:t>GNV</w:t>
            </w:r>
          </w:p>
        </w:tc>
        <w:tc>
          <w:tcPr>
            <w:tcW w:w="1019" w:type="dxa"/>
          </w:tcPr>
          <w:p w:rsidR="00BE4121" w:rsidRPr="00BE4121" w:rsidRDefault="00BE4121" w:rsidP="00377716">
            <w:pPr>
              <w:rPr>
                <w:b/>
              </w:rPr>
            </w:pPr>
            <w:r w:rsidRPr="00BE4121">
              <w:rPr>
                <w:b/>
              </w:rPr>
              <w:t>NNV</w:t>
            </w:r>
          </w:p>
        </w:tc>
      </w:tr>
      <w:tr w:rsidR="00BE4121" w:rsidRPr="00BE132B" w:rsidTr="00377716">
        <w:tc>
          <w:tcPr>
            <w:tcW w:w="216" w:type="dxa"/>
          </w:tcPr>
          <w:p w:rsidR="00BE4121" w:rsidRPr="00BE4121" w:rsidRDefault="00BE4121" w:rsidP="00377716">
            <w:pPr>
              <w:rPr>
                <w:b/>
                <w:lang w:val="en-GB"/>
              </w:rPr>
            </w:pPr>
            <w:r w:rsidRPr="00BE4121">
              <w:rPr>
                <w:b/>
                <w:lang w:val="en-GB"/>
              </w:rPr>
              <w:t>Month/Year</w:t>
            </w:r>
          </w:p>
        </w:tc>
        <w:tc>
          <w:tcPr>
            <w:tcW w:w="1833" w:type="dxa"/>
          </w:tcPr>
          <w:p w:rsidR="00BE4121" w:rsidRPr="00BE132B" w:rsidRDefault="00BE4121" w:rsidP="00377716">
            <w:pPr>
              <w:rPr>
                <w:lang w:val="en-GB"/>
              </w:rPr>
            </w:pPr>
            <w:r>
              <w:rPr>
                <w:lang w:val="en-GB"/>
              </w:rPr>
              <w:t>Jan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Feb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Mar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Apr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May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Jun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Jul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Aug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Sep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Oct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Pr="00BE132B" w:rsidRDefault="00BE4121" w:rsidP="00377716">
            <w:pPr>
              <w:rPr>
                <w:lang w:val="en-GB"/>
              </w:rPr>
            </w:pPr>
            <w:r>
              <w:rPr>
                <w:lang w:val="en-GB"/>
              </w:rPr>
              <w:t>Nov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r w:rsidR="00BE4121" w:rsidRPr="00BE132B" w:rsidTr="00377716">
        <w:tc>
          <w:tcPr>
            <w:tcW w:w="216" w:type="dxa"/>
          </w:tcPr>
          <w:p w:rsidR="00BE4121" w:rsidRPr="00BE132B" w:rsidRDefault="00BE4121" w:rsidP="00377716">
            <w:pPr>
              <w:rPr>
                <w:lang w:val="en-GB"/>
              </w:rPr>
            </w:pPr>
          </w:p>
        </w:tc>
        <w:tc>
          <w:tcPr>
            <w:tcW w:w="1833" w:type="dxa"/>
          </w:tcPr>
          <w:p w:rsidR="00BE4121" w:rsidRDefault="00BE4121" w:rsidP="00377716">
            <w:pPr>
              <w:rPr>
                <w:lang w:val="en-GB"/>
              </w:rPr>
            </w:pPr>
            <w:r>
              <w:rPr>
                <w:lang w:val="en-GB"/>
              </w:rPr>
              <w:t>Dec xx</w:t>
            </w: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c>
          <w:tcPr>
            <w:tcW w:w="2038" w:type="dxa"/>
            <w:gridSpan w:val="2"/>
          </w:tcPr>
          <w:p w:rsidR="00BE4121" w:rsidRPr="00BE132B" w:rsidRDefault="00BE4121" w:rsidP="00377716">
            <w:pPr>
              <w:rPr>
                <w:lang w:val="en-GB"/>
              </w:rPr>
            </w:pPr>
          </w:p>
        </w:tc>
      </w:tr>
    </w:tbl>
    <w:p w:rsidR="00BE4121" w:rsidRDefault="00BE4121" w:rsidP="00BD59AB">
      <w:pPr>
        <w:rPr>
          <w:lang w:val="en-GB"/>
        </w:rPr>
      </w:pPr>
    </w:p>
    <w:p w:rsidR="00BE4121" w:rsidRDefault="00BE4121" w:rsidP="00BD59AB">
      <w:pPr>
        <w:rPr>
          <w:lang w:val="en-GB"/>
        </w:rPr>
      </w:pPr>
    </w:p>
    <w:p w:rsidR="00BE4121" w:rsidRPr="00BE132B" w:rsidRDefault="00BE4121" w:rsidP="00BD59AB">
      <w:pPr>
        <w:rPr>
          <w:lang w:val="en-GB"/>
        </w:rPr>
      </w:pPr>
      <w:r>
        <w:rPr>
          <w:lang w:val="en-GB"/>
        </w:rPr>
        <w:t>Tbc for all pairs….</w:t>
      </w:r>
    </w:p>
    <w:sectPr w:rsidR="00BE4121" w:rsidRPr="00BE132B" w:rsidSect="00BE132B">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21" w:rsidRDefault="00BE4121" w:rsidP="00BE4121">
      <w:pPr>
        <w:spacing w:after="0" w:line="240" w:lineRule="auto"/>
      </w:pPr>
      <w:r>
        <w:separator/>
      </w:r>
    </w:p>
  </w:endnote>
  <w:endnote w:type="continuationSeparator" w:id="0">
    <w:p w:rsidR="00BE4121" w:rsidRDefault="00BE4121" w:rsidP="00BE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21" w:rsidRDefault="00BE4121" w:rsidP="00BE4121">
      <w:pPr>
        <w:spacing w:after="0" w:line="240" w:lineRule="auto"/>
      </w:pPr>
      <w:r>
        <w:separator/>
      </w:r>
    </w:p>
  </w:footnote>
  <w:footnote w:type="continuationSeparator" w:id="0">
    <w:p w:rsidR="00BE4121" w:rsidRDefault="00BE4121" w:rsidP="00BE4121">
      <w:pPr>
        <w:spacing w:after="0" w:line="240" w:lineRule="auto"/>
      </w:pPr>
      <w:r>
        <w:continuationSeparator/>
      </w:r>
    </w:p>
  </w:footnote>
  <w:footnote w:id="1">
    <w:p w:rsidR="00BE4121" w:rsidRPr="00A84D37" w:rsidRDefault="00BE4121">
      <w:pPr>
        <w:pStyle w:val="Funotentext"/>
        <w:rPr>
          <w:lang w:val="en-GB"/>
        </w:rPr>
      </w:pPr>
      <w:r>
        <w:rPr>
          <w:rStyle w:val="Funotenzeichen"/>
        </w:rPr>
        <w:footnoteRef/>
      </w:r>
      <w:r w:rsidRPr="00A84D37">
        <w:rPr>
          <w:lang w:val="en-GB"/>
        </w:rPr>
        <w:t xml:space="preserve"> GNV – Gross Nominal Volume</w:t>
      </w:r>
    </w:p>
  </w:footnote>
  <w:footnote w:id="2">
    <w:p w:rsidR="00BE4121" w:rsidRPr="00A84D37" w:rsidRDefault="00BE4121">
      <w:pPr>
        <w:pStyle w:val="Funotentext"/>
        <w:rPr>
          <w:lang w:val="en-GB"/>
        </w:rPr>
      </w:pPr>
      <w:r>
        <w:rPr>
          <w:rStyle w:val="Funotenzeichen"/>
        </w:rPr>
        <w:footnoteRef/>
      </w:r>
      <w:r w:rsidRPr="00A84D37">
        <w:rPr>
          <w:lang w:val="en-GB"/>
        </w:rPr>
        <w:t xml:space="preserve"> NNV – Net Nominal Volume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E0A1C"/>
    <w:multiLevelType w:val="hybridMultilevel"/>
    <w:tmpl w:val="117049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D273F3"/>
    <w:multiLevelType w:val="hybridMultilevel"/>
    <w:tmpl w:val="64243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2"/>
    <w:rsid w:val="00052ED7"/>
    <w:rsid w:val="00087F6A"/>
    <w:rsid w:val="000B4687"/>
    <w:rsid w:val="00143109"/>
    <w:rsid w:val="001B7D28"/>
    <w:rsid w:val="001C4064"/>
    <w:rsid w:val="001E0B36"/>
    <w:rsid w:val="001F4422"/>
    <w:rsid w:val="0023225E"/>
    <w:rsid w:val="00253EC1"/>
    <w:rsid w:val="002A3BA3"/>
    <w:rsid w:val="003602FC"/>
    <w:rsid w:val="00364BED"/>
    <w:rsid w:val="003F33D1"/>
    <w:rsid w:val="00411B25"/>
    <w:rsid w:val="004A6882"/>
    <w:rsid w:val="004E447B"/>
    <w:rsid w:val="00527663"/>
    <w:rsid w:val="00561A4D"/>
    <w:rsid w:val="00565DDD"/>
    <w:rsid w:val="00573115"/>
    <w:rsid w:val="005863ED"/>
    <w:rsid w:val="005E6D4D"/>
    <w:rsid w:val="006C087D"/>
    <w:rsid w:val="00767B32"/>
    <w:rsid w:val="00774A10"/>
    <w:rsid w:val="007811BA"/>
    <w:rsid w:val="007940DD"/>
    <w:rsid w:val="0084439E"/>
    <w:rsid w:val="008B42FB"/>
    <w:rsid w:val="008F7448"/>
    <w:rsid w:val="00960313"/>
    <w:rsid w:val="00963681"/>
    <w:rsid w:val="00981EE5"/>
    <w:rsid w:val="009A1BE2"/>
    <w:rsid w:val="009A7695"/>
    <w:rsid w:val="009D1799"/>
    <w:rsid w:val="009E5AD2"/>
    <w:rsid w:val="00A440C1"/>
    <w:rsid w:val="00A64E37"/>
    <w:rsid w:val="00A84D37"/>
    <w:rsid w:val="00BD1E21"/>
    <w:rsid w:val="00BD59AB"/>
    <w:rsid w:val="00BE132B"/>
    <w:rsid w:val="00BE4121"/>
    <w:rsid w:val="00C51D2B"/>
    <w:rsid w:val="00CD4627"/>
    <w:rsid w:val="00CD54FC"/>
    <w:rsid w:val="00D2476D"/>
    <w:rsid w:val="00DA1AA3"/>
    <w:rsid w:val="00E53DE0"/>
    <w:rsid w:val="00F60A4D"/>
    <w:rsid w:val="00FC1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2FF1E-5206-4CD0-9422-013663DE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41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59AB"/>
    <w:pPr>
      <w:ind w:left="720"/>
      <w:contextualSpacing/>
    </w:pPr>
  </w:style>
  <w:style w:type="table" w:styleId="Tabellenraster">
    <w:name w:val="Table Grid"/>
    <w:basedOn w:val="NormaleTabelle"/>
    <w:uiPriority w:val="39"/>
    <w:rsid w:val="00BD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E412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4121"/>
    <w:rPr>
      <w:sz w:val="20"/>
      <w:szCs w:val="20"/>
    </w:rPr>
  </w:style>
  <w:style w:type="character" w:styleId="Funotenzeichen">
    <w:name w:val="footnote reference"/>
    <w:basedOn w:val="Absatz-Standardschriftart"/>
    <w:uiPriority w:val="99"/>
    <w:semiHidden/>
    <w:unhideWhenUsed/>
    <w:rsid w:val="00BE4121"/>
    <w:rPr>
      <w:vertAlign w:val="superscript"/>
    </w:rPr>
  </w:style>
  <w:style w:type="paragraph" w:styleId="Titel">
    <w:name w:val="Title"/>
    <w:basedOn w:val="Standard"/>
    <w:next w:val="Standard"/>
    <w:link w:val="TitelZchn"/>
    <w:uiPriority w:val="10"/>
    <w:qFormat/>
    <w:rsid w:val="00411B25"/>
    <w:pPr>
      <w:framePr w:w="8505" w:wrap="notBeside" w:vAnchor="text" w:hAnchor="text" w:xAlign="center" w:y="1"/>
      <w:spacing w:after="200" w:line="276" w:lineRule="auto"/>
      <w:jc w:val="center"/>
    </w:pPr>
    <w:rPr>
      <w:rFonts w:ascii="Arial" w:hAnsi="Arial" w:cs="Arial"/>
      <w:b/>
      <w:caps/>
      <w:color w:val="595959" w:themeColor="text1" w:themeTint="A6"/>
      <w:sz w:val="32"/>
      <w:lang w:val="en-US"/>
    </w:rPr>
  </w:style>
  <w:style w:type="character" w:customStyle="1" w:styleId="TitelZchn">
    <w:name w:val="Titel Zchn"/>
    <w:basedOn w:val="Absatz-Standardschriftart"/>
    <w:link w:val="Titel"/>
    <w:uiPriority w:val="10"/>
    <w:rsid w:val="00411B25"/>
    <w:rPr>
      <w:rFonts w:ascii="Arial" w:hAnsi="Arial" w:cs="Arial"/>
      <w:b/>
      <w:caps/>
      <w:color w:val="595959" w:themeColor="text1" w:themeTint="A6"/>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1057A-F1BC-4A27-ADA2-49C7EEF27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417</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Bitter Roman</dc:creator>
  <cp:keywords/>
  <dc:description/>
  <cp:lastModifiedBy>Bitter Roman</cp:lastModifiedBy>
  <cp:revision>15</cp:revision>
  <dcterms:created xsi:type="dcterms:W3CDTF">2017-02-23T08:55:00Z</dcterms:created>
  <dcterms:modified xsi:type="dcterms:W3CDTF">2017-03-20T13:17:00Z</dcterms:modified>
</cp:coreProperties>
</file>