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1" w:type="dxa"/>
        <w:tblLayout w:type="fixed"/>
        <w:tblCellMar>
          <w:left w:w="70" w:type="dxa"/>
          <w:right w:w="70" w:type="dxa"/>
        </w:tblCellMar>
        <w:tblLook w:val="0000" w:firstRow="0" w:lastRow="0" w:firstColumn="0" w:lastColumn="0" w:noHBand="0" w:noVBand="0"/>
      </w:tblPr>
      <w:tblGrid>
        <w:gridCol w:w="5102"/>
        <w:gridCol w:w="4649"/>
      </w:tblGrid>
      <w:tr w:rsidR="0081262C" w:rsidRPr="007F0E88">
        <w:trPr>
          <w:trHeight w:hRule="exact" w:val="3600"/>
        </w:trPr>
        <w:tc>
          <w:tcPr>
            <w:tcW w:w="5102" w:type="dxa"/>
          </w:tcPr>
          <w:p w:rsidR="002D15AD" w:rsidRPr="000F462F" w:rsidRDefault="002D15AD" w:rsidP="000908D6">
            <w:pPr>
              <w:ind w:right="-1"/>
              <w:rPr>
                <w:sz w:val="24"/>
                <w:szCs w:val="24"/>
                <w:lang w:val="pt-BR"/>
              </w:rPr>
            </w:pPr>
          </w:p>
        </w:tc>
        <w:tc>
          <w:tcPr>
            <w:tcW w:w="4649" w:type="dxa"/>
          </w:tcPr>
          <w:p w:rsidR="0081262C" w:rsidRPr="0074664B" w:rsidRDefault="0081262C" w:rsidP="000908D6">
            <w:pPr>
              <w:ind w:right="255"/>
              <w:jc w:val="right"/>
              <w:rPr>
                <w:b/>
                <w:snapToGrid w:val="0"/>
                <w:color w:val="000000"/>
                <w:sz w:val="6"/>
                <w:szCs w:val="6"/>
                <w:u w:color="000000"/>
                <w:lang w:val="pt-BR"/>
              </w:rPr>
            </w:pPr>
          </w:p>
          <w:p w:rsidR="0081262C" w:rsidRPr="0074664B" w:rsidRDefault="0081262C" w:rsidP="000908D6">
            <w:pPr>
              <w:ind w:right="255"/>
              <w:jc w:val="right"/>
              <w:rPr>
                <w:b/>
                <w:snapToGrid w:val="0"/>
                <w:color w:val="000000"/>
                <w:sz w:val="6"/>
                <w:szCs w:val="6"/>
                <w:u w:color="000000"/>
                <w:lang w:val="pt-BR"/>
              </w:rPr>
            </w:pPr>
          </w:p>
          <w:p w:rsidR="0081262C" w:rsidRPr="0074664B" w:rsidRDefault="0081262C" w:rsidP="000908D6">
            <w:pPr>
              <w:ind w:right="255"/>
              <w:jc w:val="right"/>
              <w:rPr>
                <w:b/>
                <w:snapToGrid w:val="0"/>
                <w:color w:val="000000"/>
                <w:sz w:val="6"/>
                <w:szCs w:val="6"/>
                <w:u w:color="000000"/>
                <w:lang w:val="pt-BR"/>
              </w:rPr>
            </w:pPr>
          </w:p>
          <w:p w:rsidR="0081262C" w:rsidRDefault="0081262C" w:rsidP="000908D6">
            <w:pPr>
              <w:spacing w:line="240" w:lineRule="auto"/>
              <w:ind w:right="255"/>
              <w:jc w:val="right"/>
              <w:rPr>
                <w:b/>
                <w:snapToGrid w:val="0"/>
                <w:color w:val="000000"/>
                <w:sz w:val="18"/>
                <w:szCs w:val="18"/>
                <w:u w:color="000000"/>
              </w:rPr>
            </w:pPr>
            <w:r>
              <w:rPr>
                <w:b/>
                <w:snapToGrid w:val="0"/>
                <w:color w:val="000000"/>
                <w:sz w:val="18"/>
                <w:szCs w:val="18"/>
                <w:u w:color="000000"/>
              </w:rPr>
              <w:t>Bundessparte Bank und Versicherung</w:t>
            </w:r>
            <w:bookmarkStart w:id="0" w:name="abs1"/>
            <w:bookmarkEnd w:id="0"/>
          </w:p>
          <w:p w:rsidR="0081262C" w:rsidRDefault="0081262C" w:rsidP="000908D6">
            <w:pPr>
              <w:spacing w:line="240" w:lineRule="auto"/>
              <w:ind w:right="255"/>
              <w:jc w:val="right"/>
              <w:rPr>
                <w:snapToGrid w:val="0"/>
                <w:color w:val="000000"/>
                <w:sz w:val="18"/>
                <w:szCs w:val="18"/>
                <w:u w:color="000000"/>
              </w:rPr>
            </w:pPr>
            <w:r>
              <w:rPr>
                <w:snapToGrid w:val="0"/>
                <w:color w:val="000000"/>
                <w:sz w:val="18"/>
                <w:szCs w:val="18"/>
                <w:u w:color="000000"/>
              </w:rPr>
              <w:t>Wiedner Hauptstraße 63 | Postfach 320</w:t>
            </w:r>
          </w:p>
          <w:p w:rsidR="0081262C" w:rsidRDefault="0081262C" w:rsidP="000908D6">
            <w:pPr>
              <w:spacing w:line="240" w:lineRule="auto"/>
              <w:ind w:right="255"/>
              <w:jc w:val="right"/>
              <w:rPr>
                <w:snapToGrid w:val="0"/>
                <w:color w:val="000000"/>
                <w:sz w:val="18"/>
                <w:szCs w:val="18"/>
                <w:u w:color="000000"/>
              </w:rPr>
            </w:pPr>
            <w:r>
              <w:rPr>
                <w:snapToGrid w:val="0"/>
                <w:color w:val="000000"/>
                <w:sz w:val="18"/>
                <w:szCs w:val="18"/>
                <w:u w:color="000000"/>
              </w:rPr>
              <w:t>1045 Wien</w:t>
            </w:r>
          </w:p>
          <w:p w:rsidR="0081262C" w:rsidRDefault="0081262C" w:rsidP="000908D6">
            <w:pPr>
              <w:spacing w:line="240" w:lineRule="auto"/>
              <w:ind w:right="255"/>
              <w:jc w:val="right"/>
              <w:rPr>
                <w:snapToGrid w:val="0"/>
                <w:color w:val="000000"/>
                <w:sz w:val="18"/>
                <w:szCs w:val="18"/>
                <w:u w:color="000000"/>
              </w:rPr>
            </w:pPr>
            <w:r>
              <w:rPr>
                <w:snapToGrid w:val="0"/>
                <w:color w:val="000000"/>
                <w:sz w:val="18"/>
                <w:szCs w:val="18"/>
                <w:u w:color="000000"/>
              </w:rPr>
              <w:t>T +43 (0)5 90 900-DW | F +43 (0)5 90 900-272</w:t>
            </w:r>
          </w:p>
          <w:p w:rsidR="0081262C" w:rsidRDefault="0081262C" w:rsidP="000908D6">
            <w:pPr>
              <w:spacing w:line="240" w:lineRule="auto"/>
              <w:ind w:right="255"/>
              <w:jc w:val="right"/>
              <w:rPr>
                <w:snapToGrid w:val="0"/>
                <w:color w:val="000000"/>
                <w:sz w:val="18"/>
                <w:szCs w:val="18"/>
                <w:u w:color="000000"/>
              </w:rPr>
            </w:pPr>
            <w:proofErr w:type="gramStart"/>
            <w:r>
              <w:rPr>
                <w:snapToGrid w:val="0"/>
                <w:color w:val="000000"/>
                <w:sz w:val="18"/>
                <w:szCs w:val="18"/>
                <w:u w:color="000000"/>
              </w:rPr>
              <w:t>E  bsbv@wko.at</w:t>
            </w:r>
            <w:proofErr w:type="gramEnd"/>
          </w:p>
          <w:p w:rsidR="0081262C" w:rsidRPr="00AC038E" w:rsidRDefault="0081262C" w:rsidP="000908D6">
            <w:pPr>
              <w:spacing w:line="240" w:lineRule="auto"/>
              <w:ind w:right="255"/>
              <w:jc w:val="right"/>
              <w:rPr>
                <w:lang w:val="de-AT"/>
              </w:rPr>
            </w:pPr>
            <w:r w:rsidRPr="00AC038E">
              <w:rPr>
                <w:snapToGrid w:val="0"/>
                <w:color w:val="000000"/>
                <w:sz w:val="18"/>
                <w:szCs w:val="18"/>
                <w:u w:color="000000"/>
                <w:lang w:val="de-AT"/>
              </w:rPr>
              <w:t>W  http://wko.at/bsbv</w:t>
            </w:r>
          </w:p>
        </w:tc>
      </w:tr>
    </w:tbl>
    <w:p w:rsidR="00F0083F" w:rsidRDefault="00F0083F" w:rsidP="000908D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81262C" w:rsidRDefault="0081262C" w:rsidP="000908D6">
      <w:pPr>
        <w:tabs>
          <w:tab w:val="left" w:pos="2977"/>
          <w:tab w:val="left" w:pos="5954"/>
          <w:tab w:val="left" w:pos="7655"/>
        </w:tabs>
        <w:ind w:right="-1"/>
        <w:rPr>
          <w:snapToGrid w:val="0"/>
          <w:color w:val="000000"/>
          <w:szCs w:val="22"/>
          <w:u w:color="000000"/>
        </w:rPr>
      </w:pPr>
      <w:r w:rsidRPr="0091341A">
        <w:rPr>
          <w:snapToGrid w:val="0"/>
          <w:color w:val="000000"/>
          <w:sz w:val="24"/>
          <w:szCs w:val="24"/>
          <w:u w:color="000000"/>
        </w:rPr>
        <w:tab/>
      </w:r>
      <w:r w:rsidR="00287406">
        <w:rPr>
          <w:snapToGrid w:val="0"/>
          <w:color w:val="000000"/>
          <w:szCs w:val="22"/>
          <w:u w:color="000000"/>
        </w:rPr>
        <w:t xml:space="preserve">BSBV </w:t>
      </w:r>
      <w:r w:rsidR="00894219">
        <w:rPr>
          <w:snapToGrid w:val="0"/>
          <w:color w:val="000000"/>
          <w:szCs w:val="22"/>
          <w:u w:color="000000"/>
        </w:rPr>
        <w:t>64</w:t>
      </w:r>
      <w:r w:rsidR="00287406">
        <w:rPr>
          <w:snapToGrid w:val="0"/>
          <w:color w:val="000000"/>
          <w:szCs w:val="22"/>
          <w:u w:color="000000"/>
        </w:rPr>
        <w:t>/</w:t>
      </w:r>
      <w:r w:rsidR="001A6297">
        <w:rPr>
          <w:snapToGrid w:val="0"/>
          <w:color w:val="000000"/>
          <w:szCs w:val="22"/>
          <w:u w:color="000000"/>
        </w:rPr>
        <w:t>Horvath</w:t>
      </w:r>
      <w:r w:rsidR="00287406">
        <w:rPr>
          <w:snapToGrid w:val="0"/>
          <w:color w:val="000000"/>
          <w:szCs w:val="22"/>
          <w:u w:color="000000"/>
        </w:rPr>
        <w:tab/>
        <w:t>31</w:t>
      </w:r>
      <w:r w:rsidR="001A6297">
        <w:rPr>
          <w:snapToGrid w:val="0"/>
          <w:color w:val="000000"/>
          <w:szCs w:val="22"/>
          <w:u w:color="000000"/>
        </w:rPr>
        <w:t>41</w:t>
      </w:r>
      <w:r w:rsidR="00287406">
        <w:rPr>
          <w:snapToGrid w:val="0"/>
          <w:color w:val="000000"/>
          <w:szCs w:val="22"/>
          <w:u w:color="000000"/>
        </w:rPr>
        <w:tab/>
      </w:r>
      <w:r w:rsidR="00894219">
        <w:rPr>
          <w:snapToGrid w:val="0"/>
          <w:color w:val="000000"/>
          <w:szCs w:val="22"/>
          <w:u w:color="000000"/>
        </w:rPr>
        <w:t>8</w:t>
      </w:r>
      <w:r w:rsidR="002D15AD">
        <w:rPr>
          <w:snapToGrid w:val="0"/>
          <w:color w:val="000000"/>
          <w:szCs w:val="22"/>
          <w:u w:color="000000"/>
        </w:rPr>
        <w:t>.</w:t>
      </w:r>
      <w:r w:rsidR="00894219">
        <w:rPr>
          <w:snapToGrid w:val="0"/>
          <w:color w:val="000000"/>
          <w:szCs w:val="22"/>
          <w:u w:color="000000"/>
        </w:rPr>
        <w:t>5</w:t>
      </w:r>
      <w:r w:rsidR="00805966">
        <w:rPr>
          <w:snapToGrid w:val="0"/>
          <w:color w:val="000000"/>
          <w:szCs w:val="22"/>
          <w:u w:color="000000"/>
        </w:rPr>
        <w:t>.201</w:t>
      </w:r>
      <w:r w:rsidR="00894219">
        <w:rPr>
          <w:snapToGrid w:val="0"/>
          <w:color w:val="000000"/>
          <w:szCs w:val="22"/>
          <w:u w:color="000000"/>
        </w:rPr>
        <w:t>8</w:t>
      </w:r>
    </w:p>
    <w:p w:rsidR="001B36D2" w:rsidRPr="00F0083F" w:rsidRDefault="001B36D2" w:rsidP="000908D6">
      <w:pPr>
        <w:tabs>
          <w:tab w:val="left" w:pos="2977"/>
          <w:tab w:val="left" w:pos="5954"/>
          <w:tab w:val="left" w:pos="7655"/>
        </w:tabs>
        <w:ind w:right="-1"/>
        <w:rPr>
          <w:snapToGrid w:val="0"/>
          <w:color w:val="000000"/>
          <w:szCs w:val="22"/>
          <w:u w:color="000000"/>
        </w:rPr>
      </w:pPr>
      <w:r>
        <w:rPr>
          <w:snapToGrid w:val="0"/>
          <w:color w:val="000000"/>
          <w:szCs w:val="22"/>
          <w:u w:color="000000"/>
        </w:rPr>
        <w:tab/>
      </w:r>
    </w:p>
    <w:p w:rsidR="0081262C" w:rsidRPr="0091341A" w:rsidRDefault="0081262C" w:rsidP="000908D6">
      <w:pPr>
        <w:ind w:right="-1"/>
        <w:rPr>
          <w:snapToGrid w:val="0"/>
          <w:color w:val="000000"/>
          <w:sz w:val="24"/>
          <w:szCs w:val="24"/>
          <w:u w:color="000000"/>
        </w:rPr>
      </w:pPr>
    </w:p>
    <w:p w:rsidR="000908D6" w:rsidRPr="00BB0E65" w:rsidRDefault="001F47E7" w:rsidP="000908D6">
      <w:pPr>
        <w:rPr>
          <w:b/>
          <w:sz w:val="26"/>
          <w:szCs w:val="26"/>
          <w:u w:val="single"/>
        </w:rPr>
      </w:pPr>
      <w:r>
        <w:rPr>
          <w:b/>
          <w:sz w:val="26"/>
          <w:szCs w:val="26"/>
          <w:u w:val="single"/>
        </w:rPr>
        <w:t>IKS-Rundschreiben WAG 2018 (Interne Kontrollsysteme)</w:t>
      </w:r>
    </w:p>
    <w:p w:rsidR="000908D6" w:rsidRPr="00E10B38" w:rsidRDefault="000908D6" w:rsidP="00E10B38">
      <w:pPr>
        <w:spacing w:line="264" w:lineRule="auto"/>
        <w:jc w:val="center"/>
        <w:rPr>
          <w:b/>
          <w:szCs w:val="22"/>
        </w:rPr>
      </w:pPr>
    </w:p>
    <w:p w:rsidR="004B0D7E" w:rsidRPr="00E55B24" w:rsidRDefault="00BB0E65" w:rsidP="00E55B24">
      <w:pPr>
        <w:spacing w:line="252" w:lineRule="auto"/>
        <w:rPr>
          <w:szCs w:val="22"/>
        </w:rPr>
      </w:pPr>
      <w:r w:rsidRPr="00845FB8">
        <w:rPr>
          <w:szCs w:val="22"/>
        </w:rPr>
        <w:t>Wir bedanken uns für die Möglichkeit zu</w:t>
      </w:r>
      <w:r w:rsidR="001F47E7">
        <w:rPr>
          <w:szCs w:val="22"/>
        </w:rPr>
        <w:t xml:space="preserve">m Entwurf für ein </w:t>
      </w:r>
      <w:r w:rsidR="001F47E7" w:rsidRPr="001F47E7">
        <w:rPr>
          <w:i/>
          <w:szCs w:val="22"/>
        </w:rPr>
        <w:t>Rundschreiben der FMA betreffend Konkretisierung der Anforderungen an interne Kontrollmechanismen zur Überwachung der Systeme und Verfahren zur Erfüllung der Berichtspflichten im Rahmen der Portfolioverwaltung gemäß WAG 2018 (IKS-Rundschreiben WAG 2018)</w:t>
      </w:r>
      <w:r w:rsidR="001F47E7">
        <w:rPr>
          <w:szCs w:val="22"/>
        </w:rPr>
        <w:t xml:space="preserve"> </w:t>
      </w:r>
      <w:r w:rsidRPr="00845FB8">
        <w:rPr>
          <w:szCs w:val="22"/>
        </w:rPr>
        <w:t xml:space="preserve">Stellung nehmen zu können und dürfen hierzu </w:t>
      </w:r>
      <w:r w:rsidRPr="00E55B24">
        <w:rPr>
          <w:szCs w:val="22"/>
        </w:rPr>
        <w:t>folgende Anmerkungen übermitteln:</w:t>
      </w:r>
    </w:p>
    <w:p w:rsidR="00C03287" w:rsidRPr="00E55B24" w:rsidRDefault="00C03287" w:rsidP="00E55B24">
      <w:pPr>
        <w:spacing w:line="252" w:lineRule="auto"/>
        <w:rPr>
          <w:szCs w:val="22"/>
        </w:rPr>
      </w:pPr>
    </w:p>
    <w:p w:rsidR="001F47E7" w:rsidRPr="00E55B24" w:rsidRDefault="001F47E7" w:rsidP="00E55B24">
      <w:pPr>
        <w:spacing w:line="252" w:lineRule="auto"/>
        <w:rPr>
          <w:rFonts w:cs="Arial"/>
          <w:b/>
          <w:szCs w:val="22"/>
          <w:u w:val="single"/>
        </w:rPr>
      </w:pPr>
      <w:r w:rsidRPr="00E55B24">
        <w:rPr>
          <w:rFonts w:cs="Arial"/>
          <w:b/>
          <w:szCs w:val="22"/>
          <w:u w:val="single"/>
        </w:rPr>
        <w:t>Einleitende Anmerkungen</w:t>
      </w:r>
    </w:p>
    <w:p w:rsidR="001F47E7" w:rsidRPr="00E55B24" w:rsidRDefault="001F47E7" w:rsidP="00E55B24">
      <w:pPr>
        <w:spacing w:line="252" w:lineRule="auto"/>
        <w:rPr>
          <w:rFonts w:cs="Arial"/>
          <w:szCs w:val="22"/>
        </w:rPr>
      </w:pPr>
      <w:r w:rsidRPr="00E55B24">
        <w:rPr>
          <w:rFonts w:cs="Arial"/>
          <w:szCs w:val="22"/>
        </w:rPr>
        <w:t>Ziel des Rundschreibens ist die Konkretisierung der Anforderungen an interne Kontrollmechanismen zur Überwachung der Systeme und Verfahren zur Erfüllung der Berichtspflichten im Rahmen der Portfolioverwaltung gemäß WAG 2018.</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Dazu ist festzuhalten, dass die Festlegung angemessener Strategien und Verfahren gemäß Art 22 </w:t>
      </w:r>
      <w:proofErr w:type="spellStart"/>
      <w:r w:rsidRPr="00E55B24">
        <w:rPr>
          <w:rFonts w:cs="Arial"/>
          <w:szCs w:val="22"/>
        </w:rPr>
        <w:t>DelVO</w:t>
      </w:r>
      <w:proofErr w:type="spellEnd"/>
      <w:r w:rsidRPr="00E55B24">
        <w:rPr>
          <w:rFonts w:cs="Arial"/>
          <w:szCs w:val="22"/>
        </w:rPr>
        <w:t xml:space="preserve"> (EU) 2017/565 zunächst Aufgabe der Wertpapierfirma selbst ist. Dabei sollen gemäß Art 22 (1) UAbs 2 </w:t>
      </w:r>
      <w:r w:rsidR="00C13200" w:rsidRPr="00E55B24">
        <w:rPr>
          <w:rFonts w:cs="Arial"/>
          <w:szCs w:val="22"/>
        </w:rPr>
        <w:t xml:space="preserve">leg </w:t>
      </w:r>
      <w:proofErr w:type="spellStart"/>
      <w:r w:rsidR="00C13200" w:rsidRPr="00E55B24">
        <w:rPr>
          <w:rFonts w:cs="Arial"/>
          <w:szCs w:val="22"/>
        </w:rPr>
        <w:t>cit</w:t>
      </w:r>
      <w:proofErr w:type="spellEnd"/>
      <w:r w:rsidRPr="00E55B24">
        <w:rPr>
          <w:rFonts w:cs="Arial"/>
          <w:szCs w:val="22"/>
        </w:rPr>
        <w:t xml:space="preserve"> der Umfang und die Komplexität der Geschäfte Berücksichtigung finden. Der Gesetzgeber räumt mit diesem Verhältnismäßigkeitsgrundsatz der Wertpapierfirma einen Ermessenspielraum hinsichtlich der konkreten Gestaltung der Systeme und Verfahren ein.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Das Rundschreiben engt diesen gesetzlich vorgesehenen Ermessenspielraum erheblich ein. Grundsätze und Maßstäbe, die zur kollektiven Portfolioverwaltung gem. </w:t>
      </w:r>
      <w:proofErr w:type="spellStart"/>
      <w:r w:rsidRPr="00E55B24">
        <w:rPr>
          <w:rFonts w:cs="Arial"/>
          <w:szCs w:val="22"/>
        </w:rPr>
        <w:t>InvFG</w:t>
      </w:r>
      <w:proofErr w:type="spellEnd"/>
      <w:r w:rsidRPr="00E55B24">
        <w:rPr>
          <w:rFonts w:cs="Arial"/>
          <w:szCs w:val="22"/>
        </w:rPr>
        <w:t xml:space="preserve"> / AIFMG entwickelt wurden, werden auf die </w:t>
      </w:r>
      <w:proofErr w:type="spellStart"/>
      <w:r w:rsidRPr="00E55B24">
        <w:rPr>
          <w:rFonts w:cs="Arial"/>
          <w:szCs w:val="22"/>
        </w:rPr>
        <w:t>diskretionäre</w:t>
      </w:r>
      <w:proofErr w:type="spellEnd"/>
      <w:r w:rsidRPr="00E55B24">
        <w:rPr>
          <w:rFonts w:cs="Arial"/>
          <w:szCs w:val="22"/>
        </w:rPr>
        <w:t xml:space="preserve"> Portfolioverwaltung umgelegt. Durch die geschaffenen „Mindeststandards“ wird den Wertpapierfirmen der vorgesehene Ermessenspielraum und die Möglichkeit genommen, die tatsächliche Individualität des Portfolioverwaltungsmandats</w:t>
      </w:r>
      <w:r w:rsidR="00AC038E">
        <w:rPr>
          <w:rFonts w:cs="Arial"/>
          <w:szCs w:val="22"/>
        </w:rPr>
        <w:t xml:space="preserve"> ausreichend</w:t>
      </w:r>
      <w:r w:rsidRPr="00E55B24">
        <w:rPr>
          <w:rFonts w:cs="Arial"/>
          <w:szCs w:val="22"/>
        </w:rPr>
        <w:t xml:space="preserve"> zu berücksichtigen.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Beispielsweise würde die Umsetzung aller vorgeschriebenen Anforderungen in dieser detaillierten Ausgestaltung bei </w:t>
      </w:r>
      <w:proofErr w:type="spellStart"/>
      <w:r w:rsidRPr="00E55B24">
        <w:rPr>
          <w:rFonts w:cs="Arial"/>
          <w:szCs w:val="22"/>
        </w:rPr>
        <w:t>diskretionärer</w:t>
      </w:r>
      <w:proofErr w:type="spellEnd"/>
      <w:r w:rsidRPr="00E55B24">
        <w:rPr>
          <w:rFonts w:cs="Arial"/>
          <w:szCs w:val="22"/>
        </w:rPr>
        <w:t xml:space="preserve"> Portfolioverwaltung mit klaren Vorgaben des Kunden (enge Veranlagungsrichtlinien) und wenigen risikoarmen Produkten zu </w:t>
      </w:r>
      <w:r w:rsidR="00AC038E">
        <w:rPr>
          <w:rFonts w:cs="Arial"/>
          <w:szCs w:val="22"/>
        </w:rPr>
        <w:t>unverhältnismäßigem</w:t>
      </w:r>
      <w:r w:rsidRPr="00E55B24">
        <w:rPr>
          <w:rFonts w:cs="Arial"/>
          <w:szCs w:val="22"/>
        </w:rPr>
        <w:t xml:space="preserve"> Aufwand und wenig Mehrwert für </w:t>
      </w:r>
      <w:bookmarkStart w:id="1" w:name="_GoBack"/>
      <w:bookmarkEnd w:id="1"/>
      <w:r w:rsidRPr="00E55B24">
        <w:rPr>
          <w:rFonts w:cs="Arial"/>
          <w:szCs w:val="22"/>
        </w:rPr>
        <w:t>Kunden führen - ebenso bei Portfolioverwaltungsmandaten, die gemäß ihren Veranlagungsrichtlinien nur in Publikumsfonds investieren, die bereits ihrerseits die Anforderungen erfüllen müssen.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Unter anderem </w:t>
      </w:r>
      <w:r w:rsidR="00C13200" w:rsidRPr="00E55B24">
        <w:rPr>
          <w:rFonts w:cs="Arial"/>
          <w:szCs w:val="22"/>
        </w:rPr>
        <w:t xml:space="preserve">in </w:t>
      </w:r>
      <w:r w:rsidRPr="00E55B24">
        <w:rPr>
          <w:rFonts w:cs="Arial"/>
          <w:szCs w:val="22"/>
        </w:rPr>
        <w:t>folgende</w:t>
      </w:r>
      <w:r w:rsidR="00C13200" w:rsidRPr="00E55B24">
        <w:rPr>
          <w:rFonts w:cs="Arial"/>
          <w:szCs w:val="22"/>
        </w:rPr>
        <w:t>n</w:t>
      </w:r>
      <w:r w:rsidRPr="00E55B24">
        <w:rPr>
          <w:rFonts w:cs="Arial"/>
          <w:szCs w:val="22"/>
        </w:rPr>
        <w:t xml:space="preserve"> Randziffern </w:t>
      </w:r>
      <w:r w:rsidR="00C13200" w:rsidRPr="00E55B24">
        <w:rPr>
          <w:rFonts w:cs="Arial"/>
          <w:szCs w:val="22"/>
        </w:rPr>
        <w:t>werden</w:t>
      </w:r>
      <w:r w:rsidRPr="00E55B24">
        <w:rPr>
          <w:rFonts w:cs="Arial"/>
          <w:szCs w:val="22"/>
        </w:rPr>
        <w:t xml:space="preserve"> Standards für die kollektive Vermögensverwaltung ohne Beachtung des Verhältnismäßigkeitsgrundsatzes zu Mindeststandards auch für die individuelle Portfolioverwaltung: 13, 14, 20, 21, 24, 26, 28, 32, 33 und 34.</w:t>
      </w:r>
    </w:p>
    <w:p w:rsidR="001F47E7" w:rsidRPr="00E55B24" w:rsidRDefault="001F47E7" w:rsidP="00E55B24">
      <w:pPr>
        <w:spacing w:line="252" w:lineRule="auto"/>
        <w:rPr>
          <w:rFonts w:cs="Arial"/>
          <w:b/>
          <w:szCs w:val="22"/>
        </w:rPr>
      </w:pPr>
    </w:p>
    <w:p w:rsidR="001F47E7" w:rsidRPr="00E55B24" w:rsidRDefault="001F47E7" w:rsidP="00E55B24">
      <w:pPr>
        <w:spacing w:line="252" w:lineRule="auto"/>
        <w:rPr>
          <w:rFonts w:cs="Arial"/>
          <w:szCs w:val="22"/>
        </w:rPr>
      </w:pPr>
      <w:r w:rsidRPr="00E55B24">
        <w:rPr>
          <w:rFonts w:cs="Arial"/>
          <w:szCs w:val="22"/>
        </w:rPr>
        <w:t>Dies einleitend vorausgeschickt, nehmen wir zu einzelnen Randziffern wie folgt im Detail Stellung:</w:t>
      </w:r>
    </w:p>
    <w:p w:rsidR="001F47E7" w:rsidRPr="00E55B24" w:rsidRDefault="001F47E7" w:rsidP="00E55B24">
      <w:pPr>
        <w:spacing w:line="252" w:lineRule="auto"/>
        <w:rPr>
          <w:rFonts w:cs="Arial"/>
          <w:b/>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9</w:t>
      </w:r>
    </w:p>
    <w:p w:rsidR="001F47E7" w:rsidRPr="00E55B24" w:rsidRDefault="001F47E7" w:rsidP="00E55B24">
      <w:pPr>
        <w:spacing w:line="252" w:lineRule="auto"/>
        <w:rPr>
          <w:rFonts w:cs="Arial"/>
          <w:szCs w:val="22"/>
        </w:rPr>
      </w:pPr>
      <w:r w:rsidRPr="00E55B24">
        <w:rPr>
          <w:rFonts w:cs="Arial"/>
          <w:szCs w:val="22"/>
        </w:rPr>
        <w:t xml:space="preserve">Der letzte Satz in </w:t>
      </w:r>
      <w:proofErr w:type="spellStart"/>
      <w:r w:rsidRPr="00E55B24">
        <w:rPr>
          <w:rFonts w:cs="Arial"/>
          <w:szCs w:val="22"/>
        </w:rPr>
        <w:t>Rz</w:t>
      </w:r>
      <w:proofErr w:type="spellEnd"/>
      <w:r w:rsidRPr="00E55B24">
        <w:rPr>
          <w:rFonts w:cs="Arial"/>
          <w:szCs w:val="22"/>
        </w:rPr>
        <w:t xml:space="preserve"> 9 lautet: </w:t>
      </w:r>
    </w:p>
    <w:p w:rsidR="001F47E7" w:rsidRPr="00E55B24" w:rsidRDefault="001F47E7" w:rsidP="00E55B24">
      <w:pPr>
        <w:spacing w:line="252" w:lineRule="auto"/>
        <w:rPr>
          <w:rFonts w:cs="Arial"/>
          <w:i/>
          <w:szCs w:val="22"/>
        </w:rPr>
      </w:pPr>
      <w:r w:rsidRPr="00E55B24">
        <w:rPr>
          <w:rFonts w:cs="Arial"/>
          <w:i/>
          <w:szCs w:val="22"/>
        </w:rPr>
        <w:t xml:space="preserve">„Diese Bestimmung ist als die Generalnorm zur Einrichtung interner Kontrollmechanismen zu sehen, die in den </w:t>
      </w:r>
      <w:r w:rsidRPr="00E55B24">
        <w:rPr>
          <w:rFonts w:cs="Arial"/>
          <w:b/>
          <w:i/>
          <w:szCs w:val="22"/>
        </w:rPr>
        <w:t>delegierten Rechtsakten</w:t>
      </w:r>
      <w:r w:rsidRPr="00E55B24">
        <w:rPr>
          <w:rFonts w:cs="Arial"/>
          <w:i/>
          <w:szCs w:val="22"/>
        </w:rPr>
        <w:t xml:space="preserve"> weiter konkretisiert wird.“</w:t>
      </w:r>
    </w:p>
    <w:p w:rsidR="00C13200" w:rsidRPr="00E55B24" w:rsidRDefault="00C13200"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Wir ersuchen zur besseren Übersicht um Konkretisierung der delegierten Rechtsakte, da insbesondere auch in den folgenden Randziffern keine nähere Spezifizierung erfolgt.</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13</w:t>
      </w:r>
      <w:r w:rsidR="00C13200" w:rsidRPr="00E55B24">
        <w:rPr>
          <w:rFonts w:cs="Arial"/>
          <w:b/>
          <w:szCs w:val="22"/>
          <w:u w:val="single"/>
        </w:rPr>
        <w:t>, Sätze 3ff</w:t>
      </w:r>
    </w:p>
    <w:p w:rsidR="001F47E7" w:rsidRPr="00E55B24" w:rsidRDefault="001F47E7" w:rsidP="00E55B24">
      <w:pPr>
        <w:spacing w:line="252" w:lineRule="auto"/>
        <w:rPr>
          <w:rFonts w:cs="Arial"/>
          <w:szCs w:val="22"/>
        </w:rPr>
      </w:pPr>
      <w:r w:rsidRPr="00E55B24">
        <w:rPr>
          <w:rFonts w:cs="Arial"/>
          <w:szCs w:val="22"/>
        </w:rPr>
        <w:t xml:space="preserve">Der europäische Gesetzgeber hat in Art 58 lit b </w:t>
      </w:r>
      <w:proofErr w:type="spellStart"/>
      <w:r w:rsidRPr="00E55B24">
        <w:rPr>
          <w:rFonts w:cs="Arial"/>
          <w:szCs w:val="22"/>
        </w:rPr>
        <w:t>DelVO</w:t>
      </w:r>
      <w:proofErr w:type="spellEnd"/>
      <w:r w:rsidRPr="00E55B24">
        <w:rPr>
          <w:rFonts w:cs="Arial"/>
          <w:szCs w:val="22"/>
        </w:rPr>
        <w:t xml:space="preserve"> (EU) 2017/565 bewusst keine Definition der zu verwendenden Verfahren vorgenommen. Es gilt vielmehr der eingangs erwähnte Grundsatz der Verhältnismäßigkeit. Die Definition der zu verwendenden Verfahren geht somit über den vorgegebenen rechtlichen Rahmen der </w:t>
      </w:r>
      <w:proofErr w:type="spellStart"/>
      <w:r w:rsidRPr="00E55B24">
        <w:rPr>
          <w:rFonts w:cs="Arial"/>
          <w:szCs w:val="22"/>
        </w:rPr>
        <w:t>DelVO</w:t>
      </w:r>
      <w:proofErr w:type="spellEnd"/>
      <w:r w:rsidRPr="00E55B24">
        <w:rPr>
          <w:rFonts w:cs="Arial"/>
          <w:szCs w:val="22"/>
        </w:rPr>
        <w:t xml:space="preserve"> (EU) 2017/565 hinaus („Gold-</w:t>
      </w:r>
      <w:proofErr w:type="spellStart"/>
      <w:r w:rsidRPr="00E55B24">
        <w:rPr>
          <w:rFonts w:cs="Arial"/>
          <w:szCs w:val="22"/>
        </w:rPr>
        <w:t>Plating</w:t>
      </w:r>
      <w:proofErr w:type="spellEnd"/>
      <w:r w:rsidRPr="00E55B24">
        <w:rPr>
          <w:rFonts w:cs="Arial"/>
          <w:szCs w:val="22"/>
        </w:rPr>
        <w:t>“).</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14</w:t>
      </w:r>
      <w:r w:rsidR="00C13200" w:rsidRPr="00E55B24">
        <w:rPr>
          <w:rFonts w:cs="Arial"/>
          <w:b/>
          <w:szCs w:val="22"/>
          <w:u w:val="single"/>
        </w:rPr>
        <w:t>, Sätze 3ff</w:t>
      </w:r>
    </w:p>
    <w:p w:rsidR="001F47E7" w:rsidRPr="00E55B24" w:rsidRDefault="001F47E7" w:rsidP="00E55B24">
      <w:pPr>
        <w:spacing w:line="252" w:lineRule="auto"/>
        <w:rPr>
          <w:rFonts w:cs="Arial"/>
          <w:szCs w:val="22"/>
        </w:rPr>
      </w:pPr>
      <w:r w:rsidRPr="00E55B24">
        <w:rPr>
          <w:rFonts w:cs="Arial"/>
          <w:szCs w:val="22"/>
        </w:rPr>
        <w:t xml:space="preserve">Art 60 </w:t>
      </w:r>
      <w:r w:rsidR="00C13200" w:rsidRPr="00E55B24">
        <w:rPr>
          <w:rFonts w:cs="Arial"/>
          <w:szCs w:val="22"/>
        </w:rPr>
        <w:t>(</w:t>
      </w:r>
      <w:r w:rsidRPr="00E55B24">
        <w:rPr>
          <w:rFonts w:cs="Arial"/>
          <w:szCs w:val="22"/>
        </w:rPr>
        <w:t>2</w:t>
      </w:r>
      <w:r w:rsidR="00C13200" w:rsidRPr="00E55B24">
        <w:rPr>
          <w:rFonts w:cs="Arial"/>
          <w:szCs w:val="22"/>
        </w:rPr>
        <w:t>)</w:t>
      </w:r>
      <w:r w:rsidRPr="00E55B24">
        <w:rPr>
          <w:rFonts w:cs="Arial"/>
          <w:szCs w:val="22"/>
        </w:rPr>
        <w:t xml:space="preserve"> lit c </w:t>
      </w:r>
      <w:proofErr w:type="spellStart"/>
      <w:r w:rsidRPr="00E55B24">
        <w:rPr>
          <w:rFonts w:cs="Arial"/>
          <w:szCs w:val="22"/>
        </w:rPr>
        <w:t>DelVO</w:t>
      </w:r>
      <w:proofErr w:type="spellEnd"/>
      <w:r w:rsidRPr="00E55B24">
        <w:rPr>
          <w:rFonts w:cs="Arial"/>
          <w:szCs w:val="22"/>
        </w:rPr>
        <w:t xml:space="preserve"> (EU) 2017/565 definiert, wie die Bewertung des Portfolios zu erfolgen hat. Die in </w:t>
      </w:r>
      <w:r w:rsidR="00C13200" w:rsidRPr="00E55B24">
        <w:rPr>
          <w:rFonts w:cs="Arial"/>
          <w:szCs w:val="22"/>
        </w:rPr>
        <w:t>RZ</w:t>
      </w:r>
      <w:r w:rsidRPr="00E55B24">
        <w:rPr>
          <w:rFonts w:cs="Arial"/>
          <w:szCs w:val="22"/>
        </w:rPr>
        <w:t xml:space="preserve"> 14 </w:t>
      </w:r>
      <w:r w:rsidR="00C13200" w:rsidRPr="00E55B24">
        <w:rPr>
          <w:rFonts w:cs="Arial"/>
          <w:szCs w:val="22"/>
        </w:rPr>
        <w:t xml:space="preserve">(Sätze 3ff) </w:t>
      </w:r>
      <w:r w:rsidRPr="00E55B24">
        <w:rPr>
          <w:rFonts w:cs="Arial"/>
          <w:szCs w:val="22"/>
        </w:rPr>
        <w:t>dargestellte Vorgehensweise geht hier über den rechtlich vorgegebenen Rahmen des europäischen Gesetzgebers hinaus („Gold-</w:t>
      </w:r>
      <w:proofErr w:type="spellStart"/>
      <w:r w:rsidRPr="00E55B24">
        <w:rPr>
          <w:rFonts w:cs="Arial"/>
          <w:szCs w:val="22"/>
        </w:rPr>
        <w:t>Plating</w:t>
      </w:r>
      <w:proofErr w:type="spellEnd"/>
      <w:r w:rsidRPr="00E55B24">
        <w:rPr>
          <w:rFonts w:cs="Arial"/>
          <w:szCs w:val="22"/>
        </w:rPr>
        <w:t xml:space="preserve">“). Die Art und Weise der Feststellung des Markt- bzw. Zeitwerts einzelner Finanzinstrumente obliegt der Wertpapierfirma. Es gilt vielmehr der eingangs erwähnte Grundsatz der Verhältnismäßigkeit. </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16</w:t>
      </w:r>
      <w:r w:rsidR="00C13200" w:rsidRPr="00E55B24">
        <w:rPr>
          <w:rFonts w:cs="Arial"/>
          <w:b/>
          <w:szCs w:val="22"/>
          <w:u w:val="single"/>
        </w:rPr>
        <w:t>, 1. Satz</w:t>
      </w:r>
    </w:p>
    <w:p w:rsidR="001F47E7" w:rsidRPr="00E55B24" w:rsidRDefault="001F47E7" w:rsidP="00E55B24">
      <w:pPr>
        <w:spacing w:line="252" w:lineRule="auto"/>
        <w:rPr>
          <w:rFonts w:cs="Arial"/>
          <w:szCs w:val="22"/>
        </w:rPr>
      </w:pPr>
      <w:r w:rsidRPr="00E55B24">
        <w:rPr>
          <w:rFonts w:cs="Arial"/>
          <w:szCs w:val="22"/>
        </w:rPr>
        <w:t xml:space="preserve">Weder in Art 50 noch in Art 60 </w:t>
      </w:r>
      <w:r w:rsidR="00C13200" w:rsidRPr="00E55B24">
        <w:rPr>
          <w:rFonts w:cs="Arial"/>
          <w:szCs w:val="22"/>
        </w:rPr>
        <w:t>(</w:t>
      </w:r>
      <w:r w:rsidRPr="00E55B24">
        <w:rPr>
          <w:rFonts w:cs="Arial"/>
          <w:szCs w:val="22"/>
        </w:rPr>
        <w:t>2</w:t>
      </w:r>
      <w:r w:rsidR="00C13200" w:rsidRPr="00E55B24">
        <w:rPr>
          <w:rFonts w:cs="Arial"/>
          <w:szCs w:val="22"/>
        </w:rPr>
        <w:t>)</w:t>
      </w:r>
      <w:r w:rsidRPr="00E55B24">
        <w:rPr>
          <w:rFonts w:cs="Arial"/>
          <w:szCs w:val="22"/>
        </w:rPr>
        <w:t xml:space="preserve"> lit c </w:t>
      </w:r>
      <w:proofErr w:type="spellStart"/>
      <w:r w:rsidRPr="00E55B24">
        <w:rPr>
          <w:rFonts w:cs="Arial"/>
          <w:szCs w:val="22"/>
        </w:rPr>
        <w:t>DelVO</w:t>
      </w:r>
      <w:proofErr w:type="spellEnd"/>
      <w:r w:rsidRPr="00E55B24">
        <w:rPr>
          <w:rFonts w:cs="Arial"/>
          <w:szCs w:val="22"/>
        </w:rPr>
        <w:t xml:space="preserve"> (EU) 2017/565 ist vom europäischen Gesetzgeber eine Darstellung der Wertentwicklung des Portfolios vor </w:t>
      </w:r>
      <w:r w:rsidRPr="00E55B24">
        <w:rPr>
          <w:rFonts w:cs="Arial"/>
          <w:b/>
          <w:szCs w:val="22"/>
        </w:rPr>
        <w:t>und</w:t>
      </w:r>
      <w:r w:rsidRPr="00E55B24">
        <w:rPr>
          <w:rFonts w:cs="Arial"/>
          <w:szCs w:val="22"/>
        </w:rPr>
        <w:t xml:space="preserve"> nach Abzug der verrechneten Gebühren und Entgelte gefordert.  </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Beide W</w:t>
      </w:r>
      <w:r w:rsidR="00E55B24" w:rsidRPr="00E55B24">
        <w:rPr>
          <w:rFonts w:cs="Arial"/>
          <w:szCs w:val="22"/>
        </w:rPr>
        <w:t>ertentwicklungen sind nur dann gemäß</w:t>
      </w:r>
      <w:r w:rsidRPr="00E55B24">
        <w:rPr>
          <w:rFonts w:cs="Arial"/>
          <w:szCs w:val="22"/>
        </w:rPr>
        <w:t xml:space="preserve"> Art 44 </w:t>
      </w:r>
      <w:r w:rsidR="00E55B24" w:rsidRPr="00E55B24">
        <w:rPr>
          <w:rFonts w:cs="Arial"/>
          <w:szCs w:val="22"/>
        </w:rPr>
        <w:t>(</w:t>
      </w:r>
      <w:r w:rsidRPr="00E55B24">
        <w:rPr>
          <w:rFonts w:cs="Arial"/>
          <w:szCs w:val="22"/>
        </w:rPr>
        <w:t>4</w:t>
      </w:r>
      <w:r w:rsidR="00E55B24" w:rsidRPr="00E55B24">
        <w:rPr>
          <w:rFonts w:cs="Arial"/>
          <w:szCs w:val="22"/>
        </w:rPr>
        <w:t>)</w:t>
      </w:r>
      <w:r w:rsidRPr="00E55B24">
        <w:rPr>
          <w:rFonts w:cs="Arial"/>
          <w:szCs w:val="22"/>
        </w:rPr>
        <w:t xml:space="preserve"> lit f </w:t>
      </w:r>
      <w:proofErr w:type="spellStart"/>
      <w:r w:rsidRPr="00E55B24">
        <w:rPr>
          <w:rFonts w:cs="Arial"/>
          <w:szCs w:val="22"/>
        </w:rPr>
        <w:t>DelVO</w:t>
      </w:r>
      <w:proofErr w:type="spellEnd"/>
      <w:r w:rsidRPr="00E55B24">
        <w:rPr>
          <w:rFonts w:cs="Arial"/>
          <w:szCs w:val="22"/>
        </w:rPr>
        <w:t xml:space="preserve"> (EU) 2017/565 zu erstellen, wenn dem Kunden nur die Bruttowertentwicklung dargestellt werden soll. Es ist daraus aber keine Verpflichtung abzuleiten, dass immer beide Wertentwicklungen dem Kunden darzustellen sind („Gold-</w:t>
      </w:r>
      <w:proofErr w:type="spellStart"/>
      <w:r w:rsidRPr="00E55B24">
        <w:rPr>
          <w:rFonts w:cs="Arial"/>
          <w:szCs w:val="22"/>
        </w:rPr>
        <w:t>Plating</w:t>
      </w:r>
      <w:proofErr w:type="spellEnd"/>
      <w:r w:rsidRPr="00E55B24">
        <w:rPr>
          <w:rFonts w:cs="Arial"/>
          <w:szCs w:val="22"/>
        </w:rPr>
        <w:t>“).</w:t>
      </w:r>
    </w:p>
    <w:p w:rsidR="001F47E7" w:rsidRPr="00E55B24" w:rsidRDefault="001F47E7" w:rsidP="00E55B24">
      <w:pPr>
        <w:spacing w:line="252" w:lineRule="auto"/>
        <w:rPr>
          <w:rFonts w:cs="Arial"/>
          <w:b/>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19</w:t>
      </w:r>
      <w:r w:rsidR="00E55B24" w:rsidRPr="00E55B24">
        <w:rPr>
          <w:rFonts w:cs="Arial"/>
          <w:b/>
          <w:szCs w:val="22"/>
          <w:u w:val="single"/>
        </w:rPr>
        <w:t>, 3. und 4. Satz</w:t>
      </w:r>
    </w:p>
    <w:p w:rsidR="001F47E7" w:rsidRPr="00E55B24" w:rsidRDefault="001F47E7" w:rsidP="00E55B24">
      <w:pPr>
        <w:spacing w:line="252" w:lineRule="auto"/>
        <w:rPr>
          <w:rFonts w:cs="Arial"/>
          <w:szCs w:val="22"/>
        </w:rPr>
      </w:pPr>
      <w:r w:rsidRPr="00E55B24">
        <w:rPr>
          <w:rFonts w:cs="Arial"/>
          <w:szCs w:val="22"/>
        </w:rPr>
        <w:t xml:space="preserve">Wir stimmen zu, dass Teil eines IKS die Evaluierung der verwendeten Systeme und damit auch der eingebundenen Datenströme ist. Es </w:t>
      </w:r>
      <w:r w:rsidR="00E55B24" w:rsidRPr="00E55B24">
        <w:rPr>
          <w:rFonts w:cs="Arial"/>
          <w:szCs w:val="22"/>
        </w:rPr>
        <w:t>scheint</w:t>
      </w:r>
      <w:r w:rsidRPr="00E55B24">
        <w:rPr>
          <w:rFonts w:cs="Arial"/>
          <w:szCs w:val="22"/>
        </w:rPr>
        <w:t xml:space="preserve"> aber nicht angemessen – und wäre in der Praxis mit einem </w:t>
      </w:r>
      <w:r w:rsidR="00E55B24" w:rsidRPr="00E55B24">
        <w:rPr>
          <w:rFonts w:cs="Arial"/>
          <w:szCs w:val="22"/>
        </w:rPr>
        <w:t>hohen</w:t>
      </w:r>
      <w:r w:rsidRPr="00E55B24">
        <w:rPr>
          <w:rFonts w:cs="Arial"/>
          <w:szCs w:val="22"/>
        </w:rPr>
        <w:t xml:space="preserve"> Aufwand verbunden – jede einzelne Transaktion zu plausibilisieren. Durch die gewählte Formulierung entsteht jedoch dieser Eindruck. Wir sprechen uns für eine Umformulierung </w:t>
      </w:r>
      <w:r w:rsidR="00986160">
        <w:rPr>
          <w:rFonts w:cs="Arial"/>
          <w:szCs w:val="22"/>
        </w:rPr>
        <w:t>der RZ</w:t>
      </w:r>
      <w:r w:rsidRPr="00E55B24">
        <w:rPr>
          <w:rFonts w:cs="Arial"/>
          <w:szCs w:val="22"/>
        </w:rPr>
        <w:t xml:space="preserve"> 19 dahingehend aus, so dass klarer zum Ausdruck kommt, dass es um Systemprüfungen geht.</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Randziffern 20 bis 22</w:t>
      </w:r>
    </w:p>
    <w:p w:rsidR="001F47E7" w:rsidRPr="00E55B24" w:rsidRDefault="001F47E7" w:rsidP="00E55B24">
      <w:pPr>
        <w:spacing w:line="252" w:lineRule="auto"/>
        <w:rPr>
          <w:rFonts w:cs="Arial"/>
          <w:szCs w:val="22"/>
        </w:rPr>
      </w:pPr>
      <w:r w:rsidRPr="00E55B24">
        <w:rPr>
          <w:rFonts w:cs="Arial"/>
          <w:szCs w:val="22"/>
        </w:rPr>
        <w:t xml:space="preserve">Gemäß Art 47 </w:t>
      </w:r>
      <w:r w:rsidR="00986160">
        <w:rPr>
          <w:rFonts w:cs="Arial"/>
          <w:szCs w:val="22"/>
        </w:rPr>
        <w:t>(</w:t>
      </w:r>
      <w:r w:rsidRPr="00E55B24">
        <w:rPr>
          <w:rFonts w:cs="Arial"/>
          <w:szCs w:val="22"/>
        </w:rPr>
        <w:t>2</w:t>
      </w:r>
      <w:r w:rsidR="00986160">
        <w:rPr>
          <w:rFonts w:cs="Arial"/>
          <w:szCs w:val="22"/>
        </w:rPr>
        <w:t>)</w:t>
      </w:r>
      <w:r w:rsidRPr="00E55B24">
        <w:rPr>
          <w:rFonts w:cs="Arial"/>
          <w:szCs w:val="22"/>
        </w:rPr>
        <w:t xml:space="preserve"> </w:t>
      </w:r>
      <w:proofErr w:type="spellStart"/>
      <w:r w:rsidRPr="00E55B24">
        <w:rPr>
          <w:rFonts w:cs="Arial"/>
          <w:szCs w:val="22"/>
        </w:rPr>
        <w:t>DelVO</w:t>
      </w:r>
      <w:proofErr w:type="spellEnd"/>
      <w:r w:rsidRPr="00E55B24">
        <w:rPr>
          <w:rFonts w:cs="Arial"/>
          <w:szCs w:val="22"/>
        </w:rPr>
        <w:t xml:space="preserve"> (EU) 2017/565 ist eine „angemessene Bewertungs- und Vergleichsmethode, etwa eine aussagekräftige Vergleichsgröße“, festzulegen. </w:t>
      </w:r>
      <w:r w:rsidR="00986160">
        <w:rPr>
          <w:rFonts w:cs="Arial"/>
          <w:szCs w:val="22"/>
        </w:rPr>
        <w:t>Daraus</w:t>
      </w:r>
      <w:r w:rsidRPr="00E55B24">
        <w:rPr>
          <w:rFonts w:cs="Arial"/>
          <w:szCs w:val="22"/>
        </w:rPr>
        <w:t xml:space="preserve"> ergibt sich somit, dass nicht zwingend eine Vergleichsgröße erforderlich ist. Denkbar sind für den </w:t>
      </w:r>
      <w:r w:rsidRPr="00E55B24">
        <w:rPr>
          <w:rFonts w:cs="Arial"/>
          <w:szCs w:val="22"/>
        </w:rPr>
        <w:lastRenderedPageBreak/>
        <w:t>Gesetzesgeber offenbar auch andere Bewertungs- und Vergleichsmethoden, die</w:t>
      </w:r>
      <w:r w:rsidR="00986160">
        <w:rPr>
          <w:rFonts w:cs="Arial"/>
          <w:szCs w:val="22"/>
        </w:rPr>
        <w:t xml:space="preserve"> es</w:t>
      </w:r>
      <w:r w:rsidRPr="00E55B24">
        <w:rPr>
          <w:rFonts w:cs="Arial"/>
          <w:szCs w:val="22"/>
        </w:rPr>
        <w:t xml:space="preserve"> dem Kunden ermöglichen, die Leistung der Wertpapierfirma zu bewerten.</w:t>
      </w:r>
    </w:p>
    <w:p w:rsidR="001F47E7" w:rsidRPr="00E55B24" w:rsidRDefault="001F47E7" w:rsidP="00E55B24">
      <w:pPr>
        <w:spacing w:line="252" w:lineRule="auto"/>
        <w:rPr>
          <w:rFonts w:cs="Arial"/>
          <w:b/>
          <w:szCs w:val="22"/>
        </w:rPr>
      </w:pPr>
    </w:p>
    <w:p w:rsidR="001F47E7" w:rsidRPr="00E55B24" w:rsidRDefault="001F47E7" w:rsidP="00E55B24">
      <w:pPr>
        <w:spacing w:line="252" w:lineRule="auto"/>
        <w:rPr>
          <w:rFonts w:cs="Arial"/>
          <w:szCs w:val="22"/>
        </w:rPr>
      </w:pPr>
      <w:r w:rsidRPr="00E55B24">
        <w:rPr>
          <w:rFonts w:cs="Arial"/>
          <w:szCs w:val="22"/>
        </w:rPr>
        <w:t>Es sollte daher in diesem Kapitel klarer zum Ausdruck kommen, dass auch die Randziffern 21 und 22 nur dann relevant sind, wenn eine Vergleichsgröße mit dem Kunden vereinbart wurde.</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21</w:t>
      </w:r>
      <w:r w:rsidR="00986160">
        <w:rPr>
          <w:rFonts w:cs="Arial"/>
          <w:b/>
          <w:szCs w:val="22"/>
          <w:u w:val="single"/>
        </w:rPr>
        <w:t>, Sätze 4ff</w:t>
      </w:r>
    </w:p>
    <w:p w:rsidR="001F47E7" w:rsidRPr="00E55B24" w:rsidRDefault="001F47E7" w:rsidP="00E55B24">
      <w:pPr>
        <w:spacing w:line="252" w:lineRule="auto"/>
        <w:rPr>
          <w:rFonts w:cs="Arial"/>
          <w:szCs w:val="22"/>
        </w:rPr>
      </w:pPr>
      <w:r w:rsidRPr="00E55B24">
        <w:rPr>
          <w:rFonts w:cs="Arial"/>
          <w:szCs w:val="22"/>
        </w:rPr>
        <w:t>Durch die Darstellung der Vergleichsgrößen wird der vom europäischen Gesetzgeber eingeräumte gesetzliche Spielraum auf wenige Größen eingeschränkt, was über den vorgesehenen rechtlichen Rahmen hinaus</w:t>
      </w:r>
      <w:r w:rsidR="00986160">
        <w:rPr>
          <w:rFonts w:cs="Arial"/>
          <w:szCs w:val="22"/>
        </w:rPr>
        <w:t>zu</w:t>
      </w:r>
      <w:r w:rsidRPr="00E55B24">
        <w:rPr>
          <w:rFonts w:cs="Arial"/>
          <w:szCs w:val="22"/>
        </w:rPr>
        <w:t>geh</w:t>
      </w:r>
      <w:r w:rsidR="00986160">
        <w:rPr>
          <w:rFonts w:cs="Arial"/>
          <w:szCs w:val="22"/>
        </w:rPr>
        <w:t>en scheint</w:t>
      </w:r>
      <w:r w:rsidRPr="00E55B24">
        <w:rPr>
          <w:rFonts w:cs="Arial"/>
          <w:szCs w:val="22"/>
        </w:rPr>
        <w:t xml:space="preserve"> („Gold-</w:t>
      </w:r>
      <w:proofErr w:type="spellStart"/>
      <w:r w:rsidRPr="00E55B24">
        <w:rPr>
          <w:rFonts w:cs="Arial"/>
          <w:szCs w:val="22"/>
        </w:rPr>
        <w:t>Plating</w:t>
      </w:r>
      <w:proofErr w:type="spellEnd"/>
      <w:r w:rsidRPr="00E55B24">
        <w:rPr>
          <w:rFonts w:cs="Arial"/>
          <w:szCs w:val="22"/>
        </w:rPr>
        <w:t>“).</w:t>
      </w:r>
    </w:p>
    <w:p w:rsidR="001F47E7" w:rsidRPr="00E55B24" w:rsidRDefault="001F47E7" w:rsidP="00E55B24">
      <w:pPr>
        <w:spacing w:line="252" w:lineRule="auto"/>
        <w:rPr>
          <w:rFonts w:cs="Arial"/>
          <w:b/>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22</w:t>
      </w:r>
    </w:p>
    <w:p w:rsidR="001F47E7" w:rsidRPr="00E55B24" w:rsidRDefault="001D325F" w:rsidP="00E55B24">
      <w:pPr>
        <w:spacing w:line="252" w:lineRule="auto"/>
        <w:rPr>
          <w:rFonts w:cs="Arial"/>
          <w:szCs w:val="22"/>
        </w:rPr>
      </w:pPr>
      <w:r>
        <w:rPr>
          <w:rFonts w:cs="Arial"/>
          <w:szCs w:val="22"/>
        </w:rPr>
        <w:t>In den</w:t>
      </w:r>
      <w:r w:rsidR="001F47E7" w:rsidRPr="00E55B24">
        <w:rPr>
          <w:rFonts w:cs="Arial"/>
          <w:szCs w:val="22"/>
        </w:rPr>
        <w:t xml:space="preserve"> letzten beiden Sätze</w:t>
      </w:r>
      <w:r>
        <w:rPr>
          <w:rFonts w:cs="Arial"/>
          <w:szCs w:val="22"/>
        </w:rPr>
        <w:t>n</w:t>
      </w:r>
      <w:r w:rsidR="001F47E7" w:rsidRPr="00E55B24">
        <w:rPr>
          <w:rFonts w:cs="Arial"/>
          <w:szCs w:val="22"/>
        </w:rPr>
        <w:t xml:space="preserve"> in </w:t>
      </w:r>
      <w:proofErr w:type="spellStart"/>
      <w:r w:rsidR="001F47E7" w:rsidRPr="00E55B24">
        <w:rPr>
          <w:rFonts w:cs="Arial"/>
          <w:szCs w:val="22"/>
        </w:rPr>
        <w:t>Rz</w:t>
      </w:r>
      <w:proofErr w:type="spellEnd"/>
      <w:r w:rsidR="001F47E7" w:rsidRPr="00E55B24">
        <w:rPr>
          <w:rFonts w:cs="Arial"/>
          <w:szCs w:val="22"/>
        </w:rPr>
        <w:t xml:space="preserve"> 22 wird – vor allem im letzten Satz</w:t>
      </w:r>
      <w:r>
        <w:rPr>
          <w:rFonts w:cs="Arial"/>
          <w:szCs w:val="22"/>
        </w:rPr>
        <w:t xml:space="preserve"> </w:t>
      </w:r>
      <w:r w:rsidR="001F47E7" w:rsidRPr="00E55B24">
        <w:rPr>
          <w:rFonts w:cs="Arial"/>
          <w:szCs w:val="22"/>
        </w:rPr>
        <w:t>– der vom europäischen Gesetzgeber eingeräumte Ermessenspielraum eingeschränkt („Gold-</w:t>
      </w:r>
      <w:proofErr w:type="spellStart"/>
      <w:r w:rsidR="001F47E7" w:rsidRPr="00E55B24">
        <w:rPr>
          <w:rFonts w:cs="Arial"/>
          <w:szCs w:val="22"/>
        </w:rPr>
        <w:t>Plating</w:t>
      </w:r>
      <w:proofErr w:type="spellEnd"/>
      <w:r w:rsidR="001F47E7" w:rsidRPr="00E55B24">
        <w:rPr>
          <w:rFonts w:cs="Arial"/>
          <w:szCs w:val="22"/>
        </w:rPr>
        <w:t>“).</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24</w:t>
      </w:r>
      <w:r w:rsidR="00986160">
        <w:rPr>
          <w:rFonts w:cs="Arial"/>
          <w:b/>
          <w:szCs w:val="22"/>
          <w:u w:val="single"/>
        </w:rPr>
        <w:t>, Sätze 2ff</w:t>
      </w:r>
    </w:p>
    <w:p w:rsidR="001F47E7" w:rsidRPr="00E55B24" w:rsidRDefault="001F47E7" w:rsidP="00E55B24">
      <w:pPr>
        <w:spacing w:line="252" w:lineRule="auto"/>
        <w:rPr>
          <w:rFonts w:cs="Arial"/>
          <w:szCs w:val="22"/>
        </w:rPr>
      </w:pPr>
      <w:r w:rsidRPr="00E55B24">
        <w:rPr>
          <w:rFonts w:cs="Arial"/>
          <w:szCs w:val="22"/>
        </w:rPr>
        <w:t>Bei jeder Portfolioverwaltung ist ein Kooperationsvertrag mit den entsprechenden Verwahrstellen vorhanden, der u.a. die rechtmäßige und richtige Abrechnung jedes einzelnen Wertpapiers</w:t>
      </w:r>
      <w:r w:rsidR="00986160">
        <w:rPr>
          <w:rFonts w:cs="Arial"/>
          <w:szCs w:val="22"/>
        </w:rPr>
        <w:t xml:space="preserve"> sicherstellt. Zusätzlich sind gemäß</w:t>
      </w:r>
      <w:r w:rsidRPr="00E55B24">
        <w:rPr>
          <w:rFonts w:cs="Arial"/>
          <w:szCs w:val="22"/>
        </w:rPr>
        <w:t xml:space="preserve"> Art 23 </w:t>
      </w:r>
      <w:proofErr w:type="spellStart"/>
      <w:r w:rsidRPr="00E55B24">
        <w:rPr>
          <w:rFonts w:cs="Arial"/>
          <w:szCs w:val="22"/>
        </w:rPr>
        <w:t>DelVO</w:t>
      </w:r>
      <w:proofErr w:type="spellEnd"/>
      <w:r w:rsidRPr="00E55B24">
        <w:rPr>
          <w:rFonts w:cs="Arial"/>
          <w:szCs w:val="22"/>
        </w:rPr>
        <w:t xml:space="preserve"> (EU) 2017/565 Verfahren zu etablieren, die ev. Ris</w:t>
      </w:r>
      <w:r w:rsidR="00986160">
        <w:rPr>
          <w:rFonts w:cs="Arial"/>
          <w:szCs w:val="22"/>
        </w:rPr>
        <w:t>i</w:t>
      </w:r>
      <w:r w:rsidRPr="00E55B24">
        <w:rPr>
          <w:rFonts w:cs="Arial"/>
          <w:szCs w:val="22"/>
        </w:rPr>
        <w:t xml:space="preserve">ken im Rahmen der Abrechnung aufzeigen. Aus Art 23 </w:t>
      </w:r>
      <w:proofErr w:type="spellStart"/>
      <w:r w:rsidRPr="00E55B24">
        <w:rPr>
          <w:rFonts w:cs="Arial"/>
          <w:szCs w:val="22"/>
        </w:rPr>
        <w:t>DelVO</w:t>
      </w:r>
      <w:proofErr w:type="spellEnd"/>
      <w:r w:rsidRPr="00E55B24">
        <w:rPr>
          <w:rFonts w:cs="Arial"/>
          <w:szCs w:val="22"/>
        </w:rPr>
        <w:t xml:space="preserve"> (EU) 2017/565 lässt sich keine „Vollprüfung“ jedes Abrechnungsbelegs ableiten.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Daher ist diese Anforderung der Plausibilisierung der Abrechnung eines </w:t>
      </w:r>
      <w:r w:rsidRPr="00E55B24">
        <w:rPr>
          <w:rFonts w:cs="Arial"/>
          <w:b/>
          <w:szCs w:val="22"/>
        </w:rPr>
        <w:t>jeden</w:t>
      </w:r>
      <w:r w:rsidRPr="00E55B24">
        <w:rPr>
          <w:rFonts w:cs="Arial"/>
          <w:szCs w:val="22"/>
        </w:rPr>
        <w:t xml:space="preserve"> Geschäfts im Rahmen der Verhältnismäßigkeit überschießend („Gold-</w:t>
      </w:r>
      <w:proofErr w:type="spellStart"/>
      <w:r w:rsidRPr="00E55B24">
        <w:rPr>
          <w:rFonts w:cs="Arial"/>
          <w:szCs w:val="22"/>
        </w:rPr>
        <w:t>Plating</w:t>
      </w:r>
      <w:proofErr w:type="spellEnd"/>
      <w:r w:rsidRPr="00E55B24">
        <w:rPr>
          <w:rFonts w:cs="Arial"/>
          <w:szCs w:val="22"/>
        </w:rPr>
        <w:t>“).</w:t>
      </w:r>
    </w:p>
    <w:p w:rsidR="001F47E7" w:rsidRDefault="001F47E7" w:rsidP="00E55B24">
      <w:pPr>
        <w:spacing w:line="252" w:lineRule="auto"/>
        <w:rPr>
          <w:rFonts w:cs="Arial"/>
          <w:szCs w:val="22"/>
        </w:rPr>
      </w:pPr>
    </w:p>
    <w:p w:rsidR="00856195" w:rsidRPr="00E55B24" w:rsidRDefault="00856195" w:rsidP="00856195">
      <w:pPr>
        <w:spacing w:line="252" w:lineRule="auto"/>
        <w:rPr>
          <w:rFonts w:cs="Arial"/>
          <w:b/>
          <w:szCs w:val="22"/>
          <w:u w:val="single"/>
        </w:rPr>
      </w:pPr>
      <w:r w:rsidRPr="00E55B24">
        <w:rPr>
          <w:rFonts w:cs="Arial"/>
          <w:b/>
          <w:szCs w:val="22"/>
          <w:u w:val="single"/>
        </w:rPr>
        <w:t>Randziffer</w:t>
      </w:r>
      <w:r>
        <w:rPr>
          <w:rFonts w:cs="Arial"/>
          <w:b/>
          <w:szCs w:val="22"/>
          <w:u w:val="single"/>
        </w:rPr>
        <w:t>n</w:t>
      </w:r>
      <w:r w:rsidRPr="00E55B24">
        <w:rPr>
          <w:rFonts w:cs="Arial"/>
          <w:b/>
          <w:szCs w:val="22"/>
          <w:u w:val="single"/>
        </w:rPr>
        <w:t xml:space="preserve"> 2</w:t>
      </w:r>
      <w:r>
        <w:rPr>
          <w:rFonts w:cs="Arial"/>
          <w:b/>
          <w:szCs w:val="22"/>
          <w:u w:val="single"/>
        </w:rPr>
        <w:t>5 und 26</w:t>
      </w:r>
    </w:p>
    <w:p w:rsidR="00856195" w:rsidRPr="00856195" w:rsidRDefault="00856195" w:rsidP="00856195">
      <w:pPr>
        <w:rPr>
          <w:rFonts w:cs="Arial"/>
          <w:szCs w:val="22"/>
        </w:rPr>
      </w:pPr>
      <w:r w:rsidRPr="00856195">
        <w:rPr>
          <w:rFonts w:cs="Arial"/>
          <w:szCs w:val="22"/>
        </w:rPr>
        <w:t xml:space="preserve">Die Anforderung des Art 60 (2) lit g </w:t>
      </w:r>
      <w:proofErr w:type="spellStart"/>
      <w:r w:rsidRPr="00E55B24">
        <w:rPr>
          <w:rFonts w:cs="Arial"/>
          <w:szCs w:val="22"/>
        </w:rPr>
        <w:t>DelVO</w:t>
      </w:r>
      <w:proofErr w:type="spellEnd"/>
      <w:r w:rsidRPr="00E55B24">
        <w:rPr>
          <w:rFonts w:cs="Arial"/>
          <w:szCs w:val="22"/>
        </w:rPr>
        <w:t xml:space="preserve"> 2017/565 </w:t>
      </w:r>
      <w:r w:rsidRPr="00856195">
        <w:rPr>
          <w:rFonts w:cs="Arial"/>
          <w:szCs w:val="22"/>
        </w:rPr>
        <w:t xml:space="preserve">lautet, dass im Bericht „Angaben zu sonstigen Maßnahmen des Unternehmens, die Rechte in Bezug auf im Portfolio gehaltene Finanzinstrumente verleihen“ enthalten sein müssen. Die Forderung im Entwurf des Rundschreibens, dass „Informationen in Bezug auf Kapitalmaßnahmen bei im Portfolio gehaltenen FI korrekt und vollständig dargestellt werden müssen“ geht über das in der </w:t>
      </w:r>
      <w:proofErr w:type="spellStart"/>
      <w:r w:rsidRPr="00856195">
        <w:rPr>
          <w:rFonts w:cs="Arial"/>
          <w:szCs w:val="22"/>
        </w:rPr>
        <w:t>delVO</w:t>
      </w:r>
      <w:proofErr w:type="spellEnd"/>
      <w:r w:rsidRPr="00856195">
        <w:rPr>
          <w:rFonts w:cs="Arial"/>
          <w:szCs w:val="22"/>
        </w:rPr>
        <w:t xml:space="preserve"> geforderte Maß hinaus und sollte daher gestrichen werden. Im Zusammenhang mit Art 60 (2) lit g leg </w:t>
      </w:r>
      <w:proofErr w:type="spellStart"/>
      <w:r w:rsidRPr="00856195">
        <w:rPr>
          <w:rFonts w:cs="Arial"/>
          <w:szCs w:val="22"/>
        </w:rPr>
        <w:t>cit</w:t>
      </w:r>
      <w:proofErr w:type="spellEnd"/>
      <w:r w:rsidRPr="00856195">
        <w:rPr>
          <w:rFonts w:cs="Arial"/>
          <w:szCs w:val="22"/>
        </w:rPr>
        <w:t xml:space="preserve"> sollte es aufgrund der Vielfalt und Inhomogenität möglicher Kapitalmaßnahmen in Verbindung mit der vertraglichen Ausgestaltung der Portfolioverwaltung im Rahmen der Berichterstattung an den Kunden der professionellen Beurteilung durch den Rechtsträger überlassen bleiben, wie dieser die Angaben zu Kapitalmaßnahmen gestaltet. </w:t>
      </w:r>
    </w:p>
    <w:p w:rsidR="00856195" w:rsidRPr="00E55B24" w:rsidRDefault="00856195"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26</w:t>
      </w:r>
      <w:r w:rsidR="008D0253">
        <w:rPr>
          <w:rFonts w:cs="Arial"/>
          <w:b/>
          <w:szCs w:val="22"/>
          <w:u w:val="single"/>
        </w:rPr>
        <w:t>, 2. Satz</w:t>
      </w:r>
    </w:p>
    <w:p w:rsidR="001F47E7" w:rsidRPr="00E55B24" w:rsidRDefault="001F47E7" w:rsidP="00E55B24">
      <w:pPr>
        <w:spacing w:line="252" w:lineRule="auto"/>
        <w:rPr>
          <w:rFonts w:cs="Arial"/>
          <w:szCs w:val="22"/>
        </w:rPr>
      </w:pPr>
      <w:r w:rsidRPr="00E55B24">
        <w:rPr>
          <w:rFonts w:cs="Arial"/>
          <w:szCs w:val="22"/>
        </w:rPr>
        <w:t xml:space="preserve">Auch hier gilt das oben ausgeführte: Die Art und Weise der Plausibilisierung erhaltener Informationen obliegt dem Portfolioverwalter. Eine „Vollprüfung“ ist aus den Gesetzestexten </w:t>
      </w:r>
      <w:r w:rsidR="008D0253" w:rsidRPr="00E55B24">
        <w:rPr>
          <w:rFonts w:cs="Arial"/>
          <w:szCs w:val="22"/>
        </w:rPr>
        <w:t xml:space="preserve">nicht </w:t>
      </w:r>
      <w:r w:rsidRPr="00E55B24">
        <w:rPr>
          <w:rFonts w:cs="Arial"/>
          <w:szCs w:val="22"/>
        </w:rPr>
        <w:t>ableitbar.</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Hinzuweisen ist auch auf die Verwendung unterschiedlicher Begriffe: In Randziffer 24 wird von Verwahrstelle, in Randziff</w:t>
      </w:r>
      <w:r w:rsidR="008D0253">
        <w:rPr>
          <w:rFonts w:cs="Arial"/>
          <w:szCs w:val="22"/>
        </w:rPr>
        <w:t>er 26 von Depotbank gesprochen (</w:t>
      </w:r>
      <w:r w:rsidRPr="00E55B24">
        <w:rPr>
          <w:rFonts w:cs="Arial"/>
          <w:szCs w:val="22"/>
        </w:rPr>
        <w:t xml:space="preserve">Begriffe aus dem AIFMG </w:t>
      </w:r>
      <w:r w:rsidR="008D0253">
        <w:rPr>
          <w:rFonts w:cs="Arial"/>
          <w:szCs w:val="22"/>
        </w:rPr>
        <w:t>bzw.</w:t>
      </w:r>
      <w:r w:rsidRPr="00E55B24">
        <w:rPr>
          <w:rFonts w:cs="Arial"/>
          <w:szCs w:val="22"/>
        </w:rPr>
        <w:t xml:space="preserve"> </w:t>
      </w:r>
      <w:proofErr w:type="spellStart"/>
      <w:r w:rsidRPr="00E55B24">
        <w:rPr>
          <w:rFonts w:cs="Arial"/>
          <w:szCs w:val="22"/>
        </w:rPr>
        <w:t>InvFG</w:t>
      </w:r>
      <w:proofErr w:type="spellEnd"/>
      <w:r w:rsidR="008D0253">
        <w:rPr>
          <w:rFonts w:cs="Arial"/>
          <w:szCs w:val="22"/>
        </w:rPr>
        <w:t>)</w:t>
      </w:r>
      <w:r w:rsidRPr="00E55B24">
        <w:rPr>
          <w:rFonts w:cs="Arial"/>
          <w:szCs w:val="22"/>
        </w:rPr>
        <w:t>.</w:t>
      </w:r>
    </w:p>
    <w:p w:rsidR="00317F3E" w:rsidRDefault="00317F3E" w:rsidP="00317F3E">
      <w:pPr>
        <w:spacing w:line="252" w:lineRule="auto"/>
        <w:rPr>
          <w:rFonts w:cs="Arial"/>
          <w:b/>
          <w:szCs w:val="22"/>
          <w:u w:val="single"/>
        </w:rPr>
      </w:pPr>
    </w:p>
    <w:p w:rsidR="00317F3E" w:rsidRPr="00E55B24" w:rsidRDefault="00317F3E" w:rsidP="00317F3E">
      <w:pPr>
        <w:spacing w:line="252" w:lineRule="auto"/>
        <w:rPr>
          <w:rFonts w:cs="Arial"/>
          <w:b/>
          <w:szCs w:val="22"/>
          <w:u w:val="single"/>
        </w:rPr>
      </w:pPr>
      <w:r>
        <w:rPr>
          <w:rFonts w:cs="Arial"/>
          <w:b/>
          <w:szCs w:val="22"/>
          <w:u w:val="single"/>
        </w:rPr>
        <w:t>Randziffer 28</w:t>
      </w:r>
    </w:p>
    <w:p w:rsidR="00D049FE" w:rsidRDefault="00317F3E" w:rsidP="00E55B24">
      <w:pPr>
        <w:spacing w:line="252" w:lineRule="auto"/>
        <w:rPr>
          <w:rFonts w:cs="Arial"/>
          <w:szCs w:val="22"/>
        </w:rPr>
      </w:pPr>
      <w:r w:rsidRPr="00D049FE">
        <w:rPr>
          <w:rFonts w:cs="Arial"/>
          <w:szCs w:val="22"/>
        </w:rPr>
        <w:t>Hier scheinen zwei verschiedene Inhalte in einem Punkt vermengt zu werden: einerseits der Ausweis tatsächlich getätigter Geschäfte, andererseits die inhaltliche Prüfung vorgenommener Geschäfte im Hinblick auf die Anlagerichtlinien (vor allem im Satz „Korrekt sind die Angaben [</w:t>
      </w:r>
      <w:proofErr w:type="spellStart"/>
      <w:r w:rsidRPr="00D049FE">
        <w:rPr>
          <w:rFonts w:cs="Arial"/>
          <w:szCs w:val="22"/>
        </w:rPr>
        <w:t>Anm</w:t>
      </w:r>
      <w:proofErr w:type="spellEnd"/>
      <w:r w:rsidRPr="00D049FE">
        <w:rPr>
          <w:rFonts w:cs="Arial"/>
          <w:szCs w:val="22"/>
        </w:rPr>
        <w:t xml:space="preserve">: zu den einzelnen ausgeführten Geschäften] aus Sicht der FMA dann, </w:t>
      </w:r>
      <w:r w:rsidRPr="00D049FE">
        <w:rPr>
          <w:rFonts w:cs="Arial"/>
          <w:szCs w:val="22"/>
        </w:rPr>
        <w:lastRenderedPageBreak/>
        <w:t xml:space="preserve">wenn jedes im Berichtszeitraum ausgeführte Geschäft zum Zeitpunkt der Ausführung den mit dem Kunden individuell vereinbarten Anlagerichtlinien (...) entsprochen hat."). Hier begrüßen wir eine Klarstellung, worauf konkret die Anforderung abzielt. </w:t>
      </w:r>
    </w:p>
    <w:p w:rsidR="00D049FE" w:rsidRDefault="00D049FE" w:rsidP="00E55B24">
      <w:pPr>
        <w:spacing w:line="252" w:lineRule="auto"/>
        <w:rPr>
          <w:rFonts w:cs="Arial"/>
          <w:szCs w:val="22"/>
        </w:rPr>
      </w:pPr>
    </w:p>
    <w:p w:rsidR="00317F3E" w:rsidRDefault="00317F3E" w:rsidP="00E55B24">
      <w:pPr>
        <w:spacing w:line="252" w:lineRule="auto"/>
        <w:rPr>
          <w:rFonts w:cs="Arial"/>
          <w:b/>
          <w:szCs w:val="22"/>
          <w:u w:val="single"/>
        </w:rPr>
      </w:pPr>
      <w:r w:rsidRPr="00D049FE">
        <w:rPr>
          <w:rFonts w:cs="Arial"/>
          <w:szCs w:val="22"/>
        </w:rPr>
        <w:t xml:space="preserve">Darüber hinaus ersuchen wir um Bestätigung unseres Verständnisses, dass mit der Anforderung nach einem </w:t>
      </w:r>
      <w:proofErr w:type="spellStart"/>
      <w:r w:rsidRPr="00D049FE">
        <w:rPr>
          <w:rFonts w:cs="Arial"/>
          <w:szCs w:val="22"/>
        </w:rPr>
        <w:t>Pre</w:t>
      </w:r>
      <w:proofErr w:type="spellEnd"/>
      <w:r w:rsidRPr="00D049FE">
        <w:rPr>
          <w:rFonts w:cs="Arial"/>
          <w:szCs w:val="22"/>
        </w:rPr>
        <w:t xml:space="preserve"> Trade-Check der im Schreiben der FMA (per Mail vom 26.2.2018) angesprochene Abgleich der konkret investierten Finanzinstrumente mit der Anlagestrategie gemeint ist und ein Abgleich der einzelnen, konkret investierten Finanzinstrumente mit dem Zielmarkt nicht erforderlich ist, solange diese mit dem Gesamtportfolio – welches sich aus der Anlagestrategie ergibt – in Einklang stehen. </w:t>
      </w:r>
      <w:r w:rsidRPr="00D049FE">
        <w:rPr>
          <w:rFonts w:cs="Arial"/>
          <w:szCs w:val="22"/>
        </w:rPr>
        <w:br/>
      </w:r>
    </w:p>
    <w:p w:rsidR="001F47E7" w:rsidRPr="00E55B24" w:rsidRDefault="008D0253" w:rsidP="00E55B24">
      <w:pPr>
        <w:spacing w:line="252" w:lineRule="auto"/>
        <w:rPr>
          <w:rFonts w:cs="Arial"/>
          <w:b/>
          <w:szCs w:val="22"/>
          <w:u w:val="single"/>
        </w:rPr>
      </w:pPr>
      <w:r>
        <w:rPr>
          <w:rFonts w:cs="Arial"/>
          <w:b/>
          <w:szCs w:val="22"/>
          <w:u w:val="single"/>
        </w:rPr>
        <w:t>Randziffer 28, 1. Satz</w:t>
      </w:r>
    </w:p>
    <w:p w:rsidR="001F47E7" w:rsidRPr="00E55B24" w:rsidRDefault="008D0253" w:rsidP="00E55B24">
      <w:pPr>
        <w:spacing w:line="252" w:lineRule="auto"/>
        <w:rPr>
          <w:rFonts w:cs="Arial"/>
          <w:szCs w:val="22"/>
        </w:rPr>
      </w:pPr>
      <w:r>
        <w:rPr>
          <w:rFonts w:cs="Arial"/>
          <w:szCs w:val="22"/>
        </w:rPr>
        <w:t>Gemäß</w:t>
      </w:r>
      <w:r w:rsidR="001F47E7" w:rsidRPr="00E55B24">
        <w:rPr>
          <w:rFonts w:cs="Arial"/>
          <w:szCs w:val="22"/>
        </w:rPr>
        <w:t xml:space="preserve"> Art 60 </w:t>
      </w:r>
      <w:r>
        <w:rPr>
          <w:rFonts w:cs="Arial"/>
          <w:szCs w:val="22"/>
        </w:rPr>
        <w:t>(</w:t>
      </w:r>
      <w:r w:rsidR="001F47E7" w:rsidRPr="00E55B24">
        <w:rPr>
          <w:rFonts w:cs="Arial"/>
          <w:szCs w:val="22"/>
        </w:rPr>
        <w:t>2</w:t>
      </w:r>
      <w:r>
        <w:rPr>
          <w:rFonts w:cs="Arial"/>
          <w:szCs w:val="22"/>
        </w:rPr>
        <w:t>)</w:t>
      </w:r>
      <w:r w:rsidR="001F47E7" w:rsidRPr="00E55B24">
        <w:rPr>
          <w:rFonts w:cs="Arial"/>
          <w:szCs w:val="22"/>
        </w:rPr>
        <w:t xml:space="preserve"> lit </w:t>
      </w:r>
      <w:r>
        <w:rPr>
          <w:rFonts w:cs="Arial"/>
          <w:szCs w:val="22"/>
        </w:rPr>
        <w:t xml:space="preserve">h </w:t>
      </w:r>
      <w:proofErr w:type="spellStart"/>
      <w:r w:rsidR="001F47E7" w:rsidRPr="00E55B24">
        <w:rPr>
          <w:rFonts w:cs="Arial"/>
          <w:szCs w:val="22"/>
        </w:rPr>
        <w:t>DelVO</w:t>
      </w:r>
      <w:proofErr w:type="spellEnd"/>
      <w:r w:rsidR="001F47E7" w:rsidRPr="00E55B24">
        <w:rPr>
          <w:rFonts w:cs="Arial"/>
          <w:szCs w:val="22"/>
        </w:rPr>
        <w:t xml:space="preserve"> 2017/565 entfällt die Berichterstattung eines jeden im Berichtszeitraum ausgeführte</w:t>
      </w:r>
      <w:r>
        <w:rPr>
          <w:rFonts w:cs="Arial"/>
          <w:szCs w:val="22"/>
        </w:rPr>
        <w:t>n</w:t>
      </w:r>
      <w:r w:rsidR="001F47E7" w:rsidRPr="00E55B24">
        <w:rPr>
          <w:rFonts w:cs="Arial"/>
          <w:szCs w:val="22"/>
        </w:rPr>
        <w:t xml:space="preserve"> Geschäft</w:t>
      </w:r>
      <w:r>
        <w:rPr>
          <w:rFonts w:cs="Arial"/>
          <w:szCs w:val="22"/>
        </w:rPr>
        <w:t>s</w:t>
      </w:r>
      <w:r w:rsidR="001F47E7" w:rsidRPr="00E55B24">
        <w:rPr>
          <w:rFonts w:cs="Arial"/>
          <w:szCs w:val="22"/>
        </w:rPr>
        <w:t xml:space="preserve">, wenn auf Kundenwunsch die Informationen jeweils unverzüglich </w:t>
      </w:r>
      <w:r>
        <w:rPr>
          <w:rFonts w:cs="Arial"/>
          <w:szCs w:val="22"/>
        </w:rPr>
        <w:t>gemäß</w:t>
      </w:r>
      <w:r w:rsidR="001F47E7" w:rsidRPr="00E55B24">
        <w:rPr>
          <w:rFonts w:cs="Arial"/>
          <w:szCs w:val="22"/>
        </w:rPr>
        <w:t xml:space="preserve"> Art 60 </w:t>
      </w:r>
      <w:r>
        <w:rPr>
          <w:rFonts w:cs="Arial"/>
          <w:szCs w:val="22"/>
        </w:rPr>
        <w:t>(</w:t>
      </w:r>
      <w:r w:rsidR="001F47E7" w:rsidRPr="00E55B24">
        <w:rPr>
          <w:rFonts w:cs="Arial"/>
          <w:szCs w:val="22"/>
        </w:rPr>
        <w:t>4</w:t>
      </w:r>
      <w:r>
        <w:rPr>
          <w:rFonts w:cs="Arial"/>
          <w:szCs w:val="22"/>
        </w:rPr>
        <w:t>)</w:t>
      </w:r>
      <w:r w:rsidR="001F47E7" w:rsidRPr="00E55B24">
        <w:rPr>
          <w:rFonts w:cs="Arial"/>
          <w:szCs w:val="22"/>
        </w:rPr>
        <w:t xml:space="preserve"> </w:t>
      </w:r>
      <w:proofErr w:type="spellStart"/>
      <w:r w:rsidR="001F47E7" w:rsidRPr="00E55B24">
        <w:rPr>
          <w:rFonts w:cs="Arial"/>
          <w:szCs w:val="22"/>
        </w:rPr>
        <w:t>DelVO</w:t>
      </w:r>
      <w:proofErr w:type="spellEnd"/>
      <w:r w:rsidR="001F47E7" w:rsidRPr="00E55B24">
        <w:rPr>
          <w:rFonts w:cs="Arial"/>
          <w:szCs w:val="22"/>
        </w:rPr>
        <w:t xml:space="preserve"> 2017/565 dem Kunden übermittelt werden.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Diese Anforderung ist daher höher als </w:t>
      </w:r>
      <w:r w:rsidR="008D0253">
        <w:rPr>
          <w:rFonts w:cs="Arial"/>
          <w:szCs w:val="22"/>
        </w:rPr>
        <w:t>vom</w:t>
      </w:r>
      <w:r w:rsidRPr="00E55B24">
        <w:rPr>
          <w:rFonts w:cs="Arial"/>
          <w:szCs w:val="22"/>
        </w:rPr>
        <w:t xml:space="preserve"> Gesetzgeber </w:t>
      </w:r>
      <w:r w:rsidR="008D0253">
        <w:rPr>
          <w:rFonts w:cs="Arial"/>
          <w:szCs w:val="22"/>
        </w:rPr>
        <w:t>vorgesehen</w:t>
      </w:r>
      <w:r w:rsidRPr="00E55B24">
        <w:rPr>
          <w:rFonts w:cs="Arial"/>
          <w:szCs w:val="22"/>
        </w:rPr>
        <w:t xml:space="preserve"> („Gold-</w:t>
      </w:r>
      <w:proofErr w:type="spellStart"/>
      <w:r w:rsidRPr="00E55B24">
        <w:rPr>
          <w:rFonts w:cs="Arial"/>
          <w:szCs w:val="22"/>
        </w:rPr>
        <w:t>Plating</w:t>
      </w:r>
      <w:proofErr w:type="spellEnd"/>
      <w:r w:rsidRPr="00E55B24">
        <w:rPr>
          <w:rFonts w:cs="Arial"/>
          <w:szCs w:val="22"/>
        </w:rPr>
        <w:t>“).</w:t>
      </w:r>
    </w:p>
    <w:p w:rsidR="001F47E7" w:rsidRPr="00E55B24" w:rsidRDefault="001F47E7" w:rsidP="00E55B24">
      <w:pPr>
        <w:spacing w:line="252" w:lineRule="auto"/>
        <w:rPr>
          <w:rFonts w:cs="Arial"/>
          <w:szCs w:val="22"/>
        </w:rPr>
      </w:pPr>
    </w:p>
    <w:p w:rsidR="008D0253" w:rsidRPr="00E55B24" w:rsidRDefault="008D0253" w:rsidP="008D0253">
      <w:pPr>
        <w:spacing w:line="252" w:lineRule="auto"/>
        <w:rPr>
          <w:rFonts w:cs="Arial"/>
          <w:b/>
          <w:szCs w:val="22"/>
          <w:u w:val="single"/>
        </w:rPr>
      </w:pPr>
      <w:r>
        <w:rPr>
          <w:rFonts w:cs="Arial"/>
          <w:b/>
          <w:szCs w:val="22"/>
          <w:u w:val="single"/>
        </w:rPr>
        <w:t>Randziffer 28, Sätze 4ff</w:t>
      </w:r>
    </w:p>
    <w:p w:rsidR="001F47E7" w:rsidRPr="00E55B24" w:rsidRDefault="001F47E7" w:rsidP="00E55B24">
      <w:pPr>
        <w:spacing w:line="252" w:lineRule="auto"/>
        <w:rPr>
          <w:rFonts w:cs="Arial"/>
          <w:szCs w:val="22"/>
        </w:rPr>
      </w:pPr>
      <w:r w:rsidRPr="00E55B24">
        <w:rPr>
          <w:rFonts w:cs="Arial"/>
          <w:szCs w:val="22"/>
        </w:rPr>
        <w:t xml:space="preserve">Festzuhalten ist, dass gemäß Art 58 lit b </w:t>
      </w:r>
      <w:proofErr w:type="spellStart"/>
      <w:r w:rsidRPr="00E55B24">
        <w:rPr>
          <w:rFonts w:cs="Arial"/>
          <w:szCs w:val="22"/>
        </w:rPr>
        <w:t>DelVO</w:t>
      </w:r>
      <w:proofErr w:type="spellEnd"/>
      <w:r w:rsidRPr="00E55B24">
        <w:rPr>
          <w:rFonts w:cs="Arial"/>
          <w:szCs w:val="22"/>
        </w:rPr>
        <w:t xml:space="preserve"> (EU) 2017/565 nicht zwingend Anlagerichtlinien vereinbart werden müssen. Aus der Formulierung in der Randziffer 28 entsteht jedoch ein entsprechender Eindruck (</w:t>
      </w:r>
      <w:r w:rsidR="00332380">
        <w:rPr>
          <w:rFonts w:cs="Arial"/>
          <w:szCs w:val="22"/>
        </w:rPr>
        <w:t xml:space="preserve">4. Satz: </w:t>
      </w:r>
      <w:r w:rsidRPr="00E55B24">
        <w:rPr>
          <w:rFonts w:cs="Arial"/>
          <w:szCs w:val="22"/>
        </w:rPr>
        <w:t>Verwendung „</w:t>
      </w:r>
      <w:r w:rsidRPr="00E55B24">
        <w:rPr>
          <w:rFonts w:cs="Arial"/>
          <w:i/>
          <w:szCs w:val="22"/>
        </w:rPr>
        <w:t>bzw.</w:t>
      </w:r>
      <w:r w:rsidRPr="00E55B24">
        <w:rPr>
          <w:rFonts w:cs="Arial"/>
          <w:szCs w:val="22"/>
        </w:rPr>
        <w:t xml:space="preserve">“). Es </w:t>
      </w:r>
      <w:r w:rsidR="00332380">
        <w:rPr>
          <w:rFonts w:cs="Arial"/>
          <w:szCs w:val="22"/>
        </w:rPr>
        <w:t>sollte</w:t>
      </w:r>
      <w:r w:rsidRPr="00E55B24">
        <w:rPr>
          <w:rFonts w:cs="Arial"/>
          <w:szCs w:val="22"/>
        </w:rPr>
        <w:t xml:space="preserve"> daher klar</w:t>
      </w:r>
      <w:r w:rsidR="00332380">
        <w:rPr>
          <w:rFonts w:cs="Arial"/>
          <w:szCs w:val="22"/>
        </w:rPr>
        <w:t>ge</w:t>
      </w:r>
      <w:r w:rsidRPr="00E55B24">
        <w:rPr>
          <w:rFonts w:cs="Arial"/>
          <w:szCs w:val="22"/>
        </w:rPr>
        <w:t>stell</w:t>
      </w:r>
      <w:r w:rsidR="00332380">
        <w:rPr>
          <w:rFonts w:cs="Arial"/>
          <w:szCs w:val="22"/>
        </w:rPr>
        <w:t>t werd</w:t>
      </w:r>
      <w:r w:rsidRPr="00E55B24">
        <w:rPr>
          <w:rFonts w:cs="Arial"/>
          <w:szCs w:val="22"/>
        </w:rPr>
        <w:t>en, dass Kontrollpflichten nur dann entstehen können, wenn tatsächlich Anlagerichtlinien vereinbart wurden (vgl. die Formulierung in Art. 58: „gegebenenfalls“).</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Sollten Veranlagungsrichtlinien vereinbart sein, dann macht auch hier das Gesetz keine Vorgaben wie die Überprüfung der im Berichtszeitraum ausgeführten Geschäfte mit den individuell mit dem Kunden vereinbarten Anlagerichtlinien stattzufinden hat. Es gilt vielmehr der eingangs erwähnte Grundsatz der Verhältnismäßigkeit, um eine überschießende Umsetzung („Gold-</w:t>
      </w:r>
      <w:proofErr w:type="spellStart"/>
      <w:r w:rsidRPr="00E55B24">
        <w:rPr>
          <w:rFonts w:cs="Arial"/>
          <w:szCs w:val="22"/>
        </w:rPr>
        <w:t>Plating</w:t>
      </w:r>
      <w:proofErr w:type="spellEnd"/>
      <w:r w:rsidRPr="00E55B24">
        <w:rPr>
          <w:rFonts w:cs="Arial"/>
          <w:szCs w:val="22"/>
        </w:rPr>
        <w:t>“) hintanzuhalten.</w:t>
      </w:r>
    </w:p>
    <w:p w:rsidR="001F47E7" w:rsidRDefault="001F47E7" w:rsidP="00E55B24">
      <w:pPr>
        <w:spacing w:line="252" w:lineRule="auto"/>
        <w:rPr>
          <w:rFonts w:cs="Arial"/>
          <w:szCs w:val="22"/>
        </w:rPr>
      </w:pPr>
    </w:p>
    <w:p w:rsidR="00317F3E" w:rsidRPr="00E55B24" w:rsidRDefault="00317F3E" w:rsidP="00317F3E">
      <w:pPr>
        <w:spacing w:line="252" w:lineRule="auto"/>
        <w:rPr>
          <w:rFonts w:cs="Arial"/>
          <w:b/>
          <w:szCs w:val="22"/>
          <w:u w:val="single"/>
        </w:rPr>
      </w:pPr>
      <w:r>
        <w:rPr>
          <w:rFonts w:cs="Arial"/>
          <w:b/>
          <w:szCs w:val="22"/>
          <w:u w:val="single"/>
        </w:rPr>
        <w:t>Randziffer 29</w:t>
      </w:r>
    </w:p>
    <w:p w:rsidR="00317F3E" w:rsidRPr="00D049FE" w:rsidRDefault="00317F3E" w:rsidP="00317F3E">
      <w:pPr>
        <w:rPr>
          <w:rFonts w:cs="Arial"/>
          <w:szCs w:val="22"/>
        </w:rPr>
      </w:pPr>
      <w:r w:rsidRPr="00D049FE">
        <w:rPr>
          <w:rFonts w:cs="Arial"/>
          <w:szCs w:val="22"/>
        </w:rPr>
        <w:t xml:space="preserve">Gemäß § 60 (4) WAG 2018 </w:t>
      </w:r>
      <w:r w:rsidR="00D049FE" w:rsidRPr="00D049FE">
        <w:rPr>
          <w:rFonts w:cs="Arial"/>
          <w:szCs w:val="22"/>
        </w:rPr>
        <w:t>wird</w:t>
      </w:r>
      <w:r w:rsidRPr="00D049FE">
        <w:rPr>
          <w:rFonts w:cs="Arial"/>
          <w:szCs w:val="22"/>
        </w:rPr>
        <w:t xml:space="preserve"> eine Geeignetheitsprüfung quartalsweise bzw. bei ad-hoc Änderungen vorgenommen. Dies sollte in dieser RZ entsprechend klargestellt werden und somit auch das genannte Beispiel „</w:t>
      </w:r>
      <w:proofErr w:type="spellStart"/>
      <w:r w:rsidRPr="00D049FE">
        <w:rPr>
          <w:rFonts w:cs="Arial"/>
          <w:szCs w:val="22"/>
        </w:rPr>
        <w:t>Pre</w:t>
      </w:r>
      <w:proofErr w:type="spellEnd"/>
      <w:r w:rsidRPr="00D049FE">
        <w:rPr>
          <w:rFonts w:cs="Arial"/>
          <w:szCs w:val="22"/>
        </w:rPr>
        <w:t>-Trade-Check“ gelöscht werden.</w:t>
      </w:r>
    </w:p>
    <w:p w:rsidR="00317F3E" w:rsidRDefault="00317F3E" w:rsidP="00317F3E">
      <w:pPr>
        <w:ind w:left="708"/>
        <w:rPr>
          <w:rFonts w:ascii="Arial" w:hAnsi="Arial" w:cs="Arial"/>
          <w:color w:val="1F497D"/>
          <w:sz w:val="20"/>
        </w:rPr>
      </w:pPr>
    </w:p>
    <w:p w:rsidR="00317F3E" w:rsidRPr="00E55B24" w:rsidRDefault="00317F3E" w:rsidP="00317F3E">
      <w:pPr>
        <w:spacing w:line="252" w:lineRule="auto"/>
        <w:rPr>
          <w:rFonts w:cs="Arial"/>
          <w:b/>
          <w:szCs w:val="22"/>
          <w:u w:val="single"/>
        </w:rPr>
      </w:pPr>
      <w:r>
        <w:rPr>
          <w:rFonts w:cs="Arial"/>
          <w:b/>
          <w:szCs w:val="22"/>
          <w:u w:val="single"/>
        </w:rPr>
        <w:t>Randziffer 30</w:t>
      </w:r>
    </w:p>
    <w:p w:rsidR="00317F3E" w:rsidRPr="00D049FE" w:rsidRDefault="00317F3E" w:rsidP="00317F3E">
      <w:pPr>
        <w:rPr>
          <w:rFonts w:cs="Arial"/>
          <w:szCs w:val="22"/>
        </w:rPr>
      </w:pPr>
      <w:r w:rsidRPr="00D049FE">
        <w:rPr>
          <w:rFonts w:cs="Arial"/>
          <w:szCs w:val="22"/>
        </w:rPr>
        <w:t>In Bezug auf den letzten Satz der RZ 30 verweisen wir auf unsere Anmerkungen zu RZ 29. Auch hier wäre das genannte Beispiel „</w:t>
      </w:r>
      <w:proofErr w:type="spellStart"/>
      <w:r w:rsidRPr="00D049FE">
        <w:rPr>
          <w:rFonts w:cs="Arial"/>
          <w:szCs w:val="22"/>
        </w:rPr>
        <w:t>Pre</w:t>
      </w:r>
      <w:proofErr w:type="spellEnd"/>
      <w:r w:rsidRPr="00D049FE">
        <w:rPr>
          <w:rFonts w:cs="Arial"/>
          <w:szCs w:val="22"/>
        </w:rPr>
        <w:t>-Trade-Check“ zu löschen.</w:t>
      </w:r>
    </w:p>
    <w:p w:rsidR="00317F3E" w:rsidRDefault="00317F3E" w:rsidP="00E55B24">
      <w:pPr>
        <w:spacing w:line="252" w:lineRule="auto"/>
        <w:rPr>
          <w:rFonts w:cs="Arial"/>
          <w:szCs w:val="22"/>
        </w:rPr>
      </w:pPr>
    </w:p>
    <w:p w:rsidR="00D049FE" w:rsidRDefault="00D049FE" w:rsidP="00E55B24">
      <w:pPr>
        <w:spacing w:line="252" w:lineRule="auto"/>
        <w:rPr>
          <w:rFonts w:cs="Arial"/>
          <w:szCs w:val="22"/>
        </w:rPr>
      </w:pPr>
      <w:r w:rsidRPr="00D049FE">
        <w:rPr>
          <w:rFonts w:cs="Arial"/>
          <w:szCs w:val="22"/>
        </w:rPr>
        <w:t xml:space="preserve">In </w:t>
      </w:r>
      <w:proofErr w:type="spellStart"/>
      <w:r w:rsidRPr="00D049FE">
        <w:rPr>
          <w:rFonts w:cs="Arial"/>
          <w:szCs w:val="22"/>
        </w:rPr>
        <w:t>Rz</w:t>
      </w:r>
      <w:proofErr w:type="spellEnd"/>
      <w:r w:rsidRPr="00D049FE">
        <w:rPr>
          <w:rFonts w:cs="Arial"/>
          <w:szCs w:val="22"/>
        </w:rPr>
        <w:t xml:space="preserve"> 30 sollte eine Klarstellung aufgenommen werden, dass bei Transaktionen im Rahmen der den Kundenanforderungen entsprechenden Anlagerichtlinien davon ausgegangen werden kann, dass diese Transaktionen den Kundenanforderungen entsprechen. Eine Prüfung hinsichtlich jedes einzelnen getätigten Geschäfts hinsichtlich der Einhaltung der Kundenanforderungen ist damit nicht erforderlich, die Prüfung der Einhaltung der Anlagerichtlinien ist ausreichend. </w:t>
      </w:r>
      <w:r w:rsidRPr="00D049FE">
        <w:rPr>
          <w:rFonts w:cs="Arial"/>
          <w:szCs w:val="22"/>
        </w:rPr>
        <w:br/>
      </w:r>
    </w:p>
    <w:p w:rsidR="001F47E7" w:rsidRPr="00E55B24" w:rsidRDefault="001F47E7" w:rsidP="00E55B24">
      <w:pPr>
        <w:spacing w:line="252" w:lineRule="auto"/>
        <w:rPr>
          <w:rFonts w:cs="Arial"/>
          <w:b/>
          <w:szCs w:val="22"/>
          <w:u w:val="single"/>
        </w:rPr>
      </w:pPr>
      <w:r w:rsidRPr="00E55B24">
        <w:rPr>
          <w:rFonts w:cs="Arial"/>
          <w:b/>
          <w:szCs w:val="22"/>
          <w:u w:val="single"/>
        </w:rPr>
        <w:t>Randziffer 32</w:t>
      </w:r>
      <w:r w:rsidR="0090591D">
        <w:rPr>
          <w:rFonts w:cs="Arial"/>
          <w:b/>
          <w:szCs w:val="22"/>
          <w:u w:val="single"/>
        </w:rPr>
        <w:t>, Sätze 3ff</w:t>
      </w:r>
    </w:p>
    <w:p w:rsidR="001F47E7" w:rsidRPr="00E55B24" w:rsidRDefault="001F47E7" w:rsidP="00E55B24">
      <w:pPr>
        <w:spacing w:line="252" w:lineRule="auto"/>
        <w:rPr>
          <w:rFonts w:cs="Arial"/>
          <w:szCs w:val="22"/>
        </w:rPr>
      </w:pPr>
      <w:r w:rsidRPr="00E55B24">
        <w:rPr>
          <w:rFonts w:cs="Arial"/>
          <w:szCs w:val="22"/>
        </w:rPr>
        <w:t xml:space="preserve">Gemäß Art 62 </w:t>
      </w:r>
      <w:r w:rsidR="00317F3E">
        <w:rPr>
          <w:rFonts w:cs="Arial"/>
          <w:szCs w:val="22"/>
        </w:rPr>
        <w:t>(</w:t>
      </w:r>
      <w:r w:rsidRPr="00E55B24">
        <w:rPr>
          <w:rFonts w:cs="Arial"/>
          <w:szCs w:val="22"/>
        </w:rPr>
        <w:t>1</w:t>
      </w:r>
      <w:r w:rsidR="00317F3E">
        <w:rPr>
          <w:rFonts w:cs="Arial"/>
          <w:szCs w:val="22"/>
        </w:rPr>
        <w:t>)</w:t>
      </w:r>
      <w:r w:rsidRPr="00E55B24">
        <w:rPr>
          <w:rFonts w:cs="Arial"/>
          <w:szCs w:val="22"/>
        </w:rPr>
        <w:t xml:space="preserve"> </w:t>
      </w:r>
      <w:proofErr w:type="spellStart"/>
      <w:r w:rsidRPr="00E55B24">
        <w:rPr>
          <w:rFonts w:cs="Arial"/>
          <w:szCs w:val="22"/>
        </w:rPr>
        <w:t>DelVO</w:t>
      </w:r>
      <w:proofErr w:type="spellEnd"/>
      <w:r w:rsidRPr="00E55B24">
        <w:rPr>
          <w:rFonts w:cs="Arial"/>
          <w:szCs w:val="22"/>
        </w:rPr>
        <w:t xml:space="preserve"> 2017/565 schreibt der Gesetzgeber nicht vor, mit welchen Sy</w:t>
      </w:r>
      <w:r w:rsidR="0090591D">
        <w:rPr>
          <w:rFonts w:cs="Arial"/>
          <w:szCs w:val="22"/>
        </w:rPr>
        <w:t>stemen die Überwachung der 10 %-</w:t>
      </w:r>
      <w:r w:rsidRPr="00E55B24">
        <w:rPr>
          <w:rFonts w:cs="Arial"/>
          <w:szCs w:val="22"/>
        </w:rPr>
        <w:t>Verlustschwellengrenze zu erfolgen hat. Insbesondere bei „nicht-</w:t>
      </w:r>
      <w:r w:rsidRPr="00E55B24">
        <w:rPr>
          <w:rFonts w:cs="Arial"/>
          <w:szCs w:val="22"/>
        </w:rPr>
        <w:lastRenderedPageBreak/>
        <w:t xml:space="preserve">komplexen“ Portfolioverwaltungsmandaten </w:t>
      </w:r>
      <w:r w:rsidR="0090591D">
        <w:rPr>
          <w:rFonts w:cs="Arial"/>
          <w:szCs w:val="22"/>
        </w:rPr>
        <w:t>scheint</w:t>
      </w:r>
      <w:r w:rsidRPr="00E55B24">
        <w:rPr>
          <w:rFonts w:cs="Arial"/>
          <w:szCs w:val="22"/>
        </w:rPr>
        <w:t xml:space="preserve"> die Einrichtung eines </w:t>
      </w:r>
      <w:proofErr w:type="spellStart"/>
      <w:r w:rsidRPr="00E55B24">
        <w:rPr>
          <w:rFonts w:cs="Arial"/>
          <w:szCs w:val="22"/>
        </w:rPr>
        <w:t>Limitsystems</w:t>
      </w:r>
      <w:proofErr w:type="spellEnd"/>
      <w:r w:rsidRPr="00E55B24">
        <w:rPr>
          <w:rFonts w:cs="Arial"/>
          <w:szCs w:val="22"/>
        </w:rPr>
        <w:t xml:space="preserve"> überschießend.</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Die Definition des Überwachungssystems seitens FMA widerspricht dem Grundsatz der Verhältnismäßigkeit. </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b/>
          <w:szCs w:val="22"/>
          <w:u w:val="single"/>
        </w:rPr>
      </w:pPr>
      <w:r w:rsidRPr="00E55B24">
        <w:rPr>
          <w:rFonts w:cs="Arial"/>
          <w:b/>
          <w:szCs w:val="22"/>
          <w:u w:val="single"/>
        </w:rPr>
        <w:t>Randziffer 33 und 34</w:t>
      </w:r>
    </w:p>
    <w:p w:rsidR="001F47E7" w:rsidRPr="00E55B24" w:rsidRDefault="001F47E7" w:rsidP="00E55B24">
      <w:pPr>
        <w:spacing w:line="252" w:lineRule="auto"/>
        <w:rPr>
          <w:rFonts w:cs="Arial"/>
          <w:szCs w:val="22"/>
        </w:rPr>
      </w:pPr>
      <w:r w:rsidRPr="00E55B24">
        <w:rPr>
          <w:rFonts w:cs="Arial"/>
          <w:szCs w:val="22"/>
        </w:rPr>
        <w:t xml:space="preserve">Art 62 </w:t>
      </w:r>
      <w:r w:rsidR="008C131E">
        <w:rPr>
          <w:rFonts w:cs="Arial"/>
          <w:szCs w:val="22"/>
        </w:rPr>
        <w:t>(</w:t>
      </w:r>
      <w:r w:rsidRPr="00E55B24">
        <w:rPr>
          <w:rFonts w:cs="Arial"/>
          <w:szCs w:val="22"/>
        </w:rPr>
        <w:t>2</w:t>
      </w:r>
      <w:r w:rsidR="008C131E">
        <w:rPr>
          <w:rFonts w:cs="Arial"/>
          <w:szCs w:val="22"/>
        </w:rPr>
        <w:t>)</w:t>
      </w:r>
      <w:r w:rsidRPr="00E55B24">
        <w:rPr>
          <w:rFonts w:cs="Arial"/>
          <w:szCs w:val="22"/>
        </w:rPr>
        <w:t xml:space="preserve"> </w:t>
      </w:r>
      <w:proofErr w:type="spellStart"/>
      <w:r w:rsidRPr="00E55B24">
        <w:rPr>
          <w:rFonts w:cs="Arial"/>
          <w:szCs w:val="22"/>
        </w:rPr>
        <w:t>DelVO</w:t>
      </w:r>
      <w:proofErr w:type="spellEnd"/>
      <w:r w:rsidRPr="00E55B24">
        <w:rPr>
          <w:rFonts w:cs="Arial"/>
          <w:szCs w:val="22"/>
        </w:rPr>
        <w:t xml:space="preserve"> (EU) 2017/565 iVm Erwägungsgrund 95 </w:t>
      </w:r>
      <w:r w:rsidR="008C131E">
        <w:rPr>
          <w:rFonts w:cs="Arial"/>
          <w:szCs w:val="22"/>
        </w:rPr>
        <w:t xml:space="preserve">leg </w:t>
      </w:r>
      <w:proofErr w:type="spellStart"/>
      <w:r w:rsidR="008C131E">
        <w:rPr>
          <w:rFonts w:cs="Arial"/>
          <w:szCs w:val="22"/>
        </w:rPr>
        <w:t>cit</w:t>
      </w:r>
      <w:proofErr w:type="spellEnd"/>
      <w:r w:rsidRPr="00E55B24">
        <w:rPr>
          <w:rFonts w:cs="Arial"/>
          <w:szCs w:val="22"/>
        </w:rPr>
        <w:t xml:space="preserve"> bezieht sich auf Einzelpositionen, die der Kunde auf einem Kleinanlegerdepot hält und </w:t>
      </w:r>
      <w:r w:rsidRPr="00E55B24">
        <w:rPr>
          <w:rFonts w:cs="Arial"/>
          <w:b/>
          <w:szCs w:val="22"/>
        </w:rPr>
        <w:t>keine</w:t>
      </w:r>
      <w:r w:rsidRPr="00E55B24">
        <w:rPr>
          <w:rFonts w:cs="Arial"/>
          <w:szCs w:val="22"/>
        </w:rPr>
        <w:t xml:space="preserve"> Portfolioverwaltung gegeben ist.</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 xml:space="preserve">Im </w:t>
      </w:r>
      <w:proofErr w:type="spellStart"/>
      <w:r w:rsidRPr="00E55B24">
        <w:rPr>
          <w:rFonts w:cs="Arial"/>
          <w:szCs w:val="22"/>
        </w:rPr>
        <w:t>Erw</w:t>
      </w:r>
      <w:r w:rsidR="008C131E">
        <w:rPr>
          <w:rFonts w:cs="Arial"/>
          <w:szCs w:val="22"/>
        </w:rPr>
        <w:t>G</w:t>
      </w:r>
      <w:proofErr w:type="spellEnd"/>
      <w:r w:rsidRPr="00E55B24">
        <w:rPr>
          <w:rFonts w:cs="Arial"/>
          <w:szCs w:val="22"/>
        </w:rPr>
        <w:t xml:space="preserve"> 95 stellt der europäische Gesetzgeber eindeutig fest, dass in d</w:t>
      </w:r>
      <w:r w:rsidR="008C131E">
        <w:rPr>
          <w:rFonts w:cs="Arial"/>
          <w:szCs w:val="22"/>
        </w:rPr>
        <w:t xml:space="preserve">er Portfolioverwaltung die 10 % </w:t>
      </w:r>
      <w:r w:rsidRPr="00E55B24">
        <w:rPr>
          <w:rFonts w:cs="Arial"/>
          <w:szCs w:val="22"/>
        </w:rPr>
        <w:t>Wertminderung auf das Portfolio abzustellen ist und „nicht für einzelne Anlagen“.</w:t>
      </w:r>
    </w:p>
    <w:p w:rsidR="001F47E7" w:rsidRPr="00E55B24" w:rsidRDefault="001F47E7" w:rsidP="00E55B24">
      <w:pPr>
        <w:spacing w:line="252" w:lineRule="auto"/>
        <w:rPr>
          <w:rFonts w:cs="Arial"/>
          <w:szCs w:val="22"/>
        </w:rPr>
      </w:pPr>
    </w:p>
    <w:p w:rsidR="001F47E7" w:rsidRPr="00E55B24" w:rsidRDefault="001F47E7" w:rsidP="00E55B24">
      <w:pPr>
        <w:spacing w:line="252" w:lineRule="auto"/>
        <w:rPr>
          <w:rFonts w:cs="Arial"/>
          <w:szCs w:val="22"/>
        </w:rPr>
      </w:pPr>
      <w:r w:rsidRPr="00E55B24">
        <w:rPr>
          <w:rFonts w:cs="Arial"/>
          <w:szCs w:val="22"/>
        </w:rPr>
        <w:t>Daher stellen beide Randziffern im Rahmen der Portfolioverwaltung Gold-</w:t>
      </w:r>
      <w:proofErr w:type="spellStart"/>
      <w:r w:rsidRPr="00E55B24">
        <w:rPr>
          <w:rFonts w:cs="Arial"/>
          <w:szCs w:val="22"/>
        </w:rPr>
        <w:t>Plating</w:t>
      </w:r>
      <w:proofErr w:type="spellEnd"/>
      <w:r w:rsidRPr="00E55B24">
        <w:rPr>
          <w:rFonts w:cs="Arial"/>
          <w:szCs w:val="22"/>
        </w:rPr>
        <w:t xml:space="preserve"> dar, weshalb die beiden Randziffern vor diesem Hintergrund gestrichen werden sollten.</w:t>
      </w:r>
    </w:p>
    <w:p w:rsidR="001F47E7" w:rsidRDefault="001F47E7" w:rsidP="00E55B24">
      <w:pPr>
        <w:spacing w:line="252" w:lineRule="auto"/>
        <w:rPr>
          <w:szCs w:val="22"/>
        </w:rPr>
      </w:pPr>
    </w:p>
    <w:p w:rsidR="00317F3E" w:rsidRPr="00E55B24" w:rsidRDefault="00317F3E" w:rsidP="00317F3E">
      <w:pPr>
        <w:spacing w:line="252" w:lineRule="auto"/>
        <w:rPr>
          <w:rFonts w:cs="Arial"/>
          <w:b/>
          <w:szCs w:val="22"/>
          <w:u w:val="single"/>
        </w:rPr>
      </w:pPr>
      <w:r>
        <w:rPr>
          <w:rFonts w:cs="Arial"/>
          <w:b/>
          <w:szCs w:val="22"/>
          <w:u w:val="single"/>
        </w:rPr>
        <w:t>Randziffer 3</w:t>
      </w:r>
      <w:r w:rsidR="00D049FE">
        <w:rPr>
          <w:rFonts w:cs="Arial"/>
          <w:b/>
          <w:szCs w:val="22"/>
          <w:u w:val="single"/>
        </w:rPr>
        <w:t>5</w:t>
      </w:r>
    </w:p>
    <w:p w:rsidR="00317F3E" w:rsidRPr="00D049FE" w:rsidRDefault="00317F3E" w:rsidP="00317F3E">
      <w:pPr>
        <w:rPr>
          <w:rFonts w:cs="Arial"/>
          <w:szCs w:val="22"/>
        </w:rPr>
      </w:pPr>
      <w:r w:rsidRPr="00D049FE">
        <w:rPr>
          <w:rFonts w:cs="Arial"/>
          <w:szCs w:val="22"/>
        </w:rPr>
        <w:t>Aus unserer Sicht ist ein technisches Eskalationsprozedere (</w:t>
      </w:r>
      <w:proofErr w:type="spellStart"/>
      <w:r w:rsidRPr="00D049FE">
        <w:rPr>
          <w:rFonts w:cs="Arial"/>
          <w:szCs w:val="22"/>
        </w:rPr>
        <w:t>Limitsystem</w:t>
      </w:r>
      <w:proofErr w:type="spellEnd"/>
      <w:r w:rsidRPr="00D049FE">
        <w:rPr>
          <w:rFonts w:cs="Arial"/>
          <w:szCs w:val="22"/>
        </w:rPr>
        <w:t>) auch für die Einhaltung der mit den Kunden vereinbarten Anlagerichtlinien ausreichend.</w:t>
      </w:r>
    </w:p>
    <w:p w:rsidR="00317F3E" w:rsidRPr="00317F3E" w:rsidRDefault="00317F3E" w:rsidP="00E55B24">
      <w:pPr>
        <w:spacing w:line="252" w:lineRule="auto"/>
        <w:rPr>
          <w:szCs w:val="22"/>
          <w:lang w:val="de-AT"/>
        </w:rPr>
      </w:pPr>
    </w:p>
    <w:p w:rsidR="001F47E7" w:rsidRPr="00E55B24" w:rsidRDefault="001F47E7" w:rsidP="00E55B24">
      <w:pPr>
        <w:spacing w:line="252" w:lineRule="auto"/>
        <w:rPr>
          <w:szCs w:val="22"/>
        </w:rPr>
      </w:pPr>
    </w:p>
    <w:p w:rsidR="00C03287" w:rsidRDefault="00C03287" w:rsidP="00E55B24">
      <w:pPr>
        <w:spacing w:line="252" w:lineRule="auto"/>
        <w:ind w:right="-1"/>
      </w:pPr>
      <w:r w:rsidRPr="00E55B24">
        <w:rPr>
          <w:szCs w:val="22"/>
        </w:rPr>
        <w:t>Wir bedanken uns für die Berücksichtigung u</w:t>
      </w:r>
      <w:r>
        <w:t>nserer Ausführungen.</w:t>
      </w:r>
    </w:p>
    <w:p w:rsidR="00C03287" w:rsidRDefault="00C03287" w:rsidP="00C03287">
      <w:pPr>
        <w:spacing w:line="240" w:lineRule="auto"/>
        <w:ind w:right="-1"/>
        <w:rPr>
          <w:snapToGrid w:val="0"/>
          <w:color w:val="000000"/>
          <w:szCs w:val="22"/>
          <w:u w:color="000000"/>
        </w:rPr>
      </w:pPr>
    </w:p>
    <w:p w:rsidR="00C03287" w:rsidRDefault="00C03287" w:rsidP="00C03287">
      <w:pPr>
        <w:spacing w:line="240" w:lineRule="auto"/>
        <w:ind w:right="-1"/>
        <w:rPr>
          <w:snapToGrid w:val="0"/>
          <w:color w:val="000000"/>
          <w:szCs w:val="22"/>
          <w:u w:color="000000"/>
        </w:rPr>
      </w:pPr>
      <w:r>
        <w:rPr>
          <w:snapToGrid w:val="0"/>
          <w:color w:val="000000"/>
          <w:szCs w:val="22"/>
          <w:u w:color="000000"/>
        </w:rPr>
        <w:t>Dr. Franz Rudorfer</w:t>
      </w:r>
    </w:p>
    <w:p w:rsidR="00C03287" w:rsidRDefault="00C03287" w:rsidP="00C03287">
      <w:pPr>
        <w:spacing w:line="240" w:lineRule="auto"/>
        <w:ind w:right="-1"/>
        <w:rPr>
          <w:snapToGrid w:val="0"/>
          <w:color w:val="000000"/>
          <w:szCs w:val="22"/>
          <w:u w:color="000000"/>
        </w:rPr>
      </w:pPr>
      <w:r>
        <w:rPr>
          <w:snapToGrid w:val="0"/>
          <w:color w:val="000000"/>
          <w:szCs w:val="22"/>
          <w:u w:color="000000"/>
        </w:rPr>
        <w:t>Geschäftsführer</w:t>
      </w:r>
    </w:p>
    <w:p w:rsidR="00C03287" w:rsidRPr="00F0083F" w:rsidRDefault="00C03287" w:rsidP="00C03287">
      <w:pPr>
        <w:spacing w:line="240" w:lineRule="auto"/>
        <w:ind w:right="-1"/>
        <w:rPr>
          <w:snapToGrid w:val="0"/>
          <w:color w:val="000000"/>
          <w:szCs w:val="22"/>
          <w:u w:color="000000"/>
        </w:rPr>
      </w:pPr>
      <w:r>
        <w:rPr>
          <w:snapToGrid w:val="0"/>
          <w:color w:val="000000"/>
          <w:szCs w:val="22"/>
          <w:u w:color="000000"/>
        </w:rPr>
        <w:t>Bundessparte Bank und Versicherung</w:t>
      </w:r>
    </w:p>
    <w:p w:rsidR="007D6CB7" w:rsidRPr="00C03287" w:rsidRDefault="007D6CB7" w:rsidP="00C03287">
      <w:pPr>
        <w:rPr>
          <w:szCs w:val="22"/>
        </w:rPr>
      </w:pPr>
    </w:p>
    <w:sectPr w:rsidR="007D6CB7" w:rsidRPr="00C03287" w:rsidSect="00F0083F">
      <w:footerReference w:type="default" r:id="rId8"/>
      <w:headerReference w:type="first" r:id="rId9"/>
      <w:footerReference w:type="first" r:id="rId10"/>
      <w:pgSz w:w="11906" w:h="16838"/>
      <w:pgMar w:top="1701"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A2" w:rsidRDefault="00B414A2">
      <w:r>
        <w:separator/>
      </w:r>
    </w:p>
  </w:endnote>
  <w:endnote w:type="continuationSeparator" w:id="0">
    <w:p w:rsidR="00B414A2" w:rsidRDefault="00B4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5" w:rsidRPr="007C6CFC" w:rsidRDefault="00BA66B5">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AC038E">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5" w:rsidRDefault="00BA66B5" w:rsidP="0081262C">
    <w:pPr>
      <w:pStyle w:val="Fuzeile"/>
      <w:rPr>
        <w:snapToGrid w:val="0"/>
        <w:color w:val="000000"/>
        <w:sz w:val="16"/>
        <w:szCs w:val="16"/>
        <w:u w:color="000000"/>
      </w:rPr>
    </w:pPr>
  </w:p>
  <w:p w:rsidR="00BA66B5" w:rsidRPr="007C6CFC" w:rsidRDefault="00BA66B5" w:rsidP="00C532A4">
    <w:pPr>
      <w:pStyle w:val="Fuzeile"/>
      <w:tabs>
        <w:tab w:val="left" w:pos="3630"/>
      </w:tabs>
      <w:rPr>
        <w:snapToGrid w:val="0"/>
        <w:color w:val="000000"/>
        <w:szCs w:val="22"/>
        <w:u w:color="000000"/>
      </w:rPr>
    </w:pPr>
    <w:r w:rsidRPr="007C6CFC">
      <w:rPr>
        <w:snapToGrid w:val="0"/>
        <w:color w:val="000000"/>
        <w:sz w:val="16"/>
        <w:szCs w:val="16"/>
        <w:u w:color="000000"/>
      </w:rPr>
      <w:tab/>
    </w: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AC038E">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A2" w:rsidRDefault="00B414A2">
      <w:r>
        <w:separator/>
      </w:r>
    </w:p>
  </w:footnote>
  <w:footnote w:type="continuationSeparator" w:id="0">
    <w:p w:rsidR="00B414A2" w:rsidRDefault="00B4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5" w:rsidRPr="0081262C" w:rsidRDefault="00894219"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simplePos x="0" y="0"/>
          <wp:positionH relativeFrom="page">
            <wp:posOffset>4859655</wp:posOffset>
          </wp:positionH>
          <wp:positionV relativeFrom="page">
            <wp:posOffset>197485</wp:posOffset>
          </wp:positionV>
          <wp:extent cx="2210435" cy="861695"/>
          <wp:effectExtent l="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61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CE"/>
    <w:multiLevelType w:val="hybridMultilevel"/>
    <w:tmpl w:val="D4AE9E16"/>
    <w:lvl w:ilvl="0" w:tplc="4CCCBA12">
      <w:start w:val="1"/>
      <w:numFmt w:val="decimal"/>
      <w:lvlText w:val="%1."/>
      <w:lvlJc w:val="left"/>
      <w:pPr>
        <w:ind w:left="705" w:hanging="705"/>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 w15:restartNumberingAfterBreak="0">
    <w:nsid w:val="07713C29"/>
    <w:multiLevelType w:val="hybridMultilevel"/>
    <w:tmpl w:val="3AB6A330"/>
    <w:lvl w:ilvl="0" w:tplc="B07E4234">
      <w:start w:val="1"/>
      <w:numFmt w:val="decimal"/>
      <w:lvlText w:val="%1."/>
      <w:lvlJc w:val="left"/>
      <w:pPr>
        <w:ind w:left="720" w:hanging="360"/>
      </w:pPr>
      <w:rPr>
        <w:rFonts w:ascii="Calibri" w:eastAsia="Calibri" w:hAnsi="Calibri"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840407D"/>
    <w:multiLevelType w:val="hybridMultilevel"/>
    <w:tmpl w:val="7F1E0E4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0A9B7D7C"/>
    <w:multiLevelType w:val="hybridMultilevel"/>
    <w:tmpl w:val="00A62CD8"/>
    <w:lvl w:ilvl="0" w:tplc="9FB6B9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5E5033"/>
    <w:multiLevelType w:val="hybridMultilevel"/>
    <w:tmpl w:val="FD100062"/>
    <w:lvl w:ilvl="0" w:tplc="F1DC3574">
      <w:start w:val="1"/>
      <w:numFmt w:val="lowerLetter"/>
      <w:lvlText w:val="%1)"/>
      <w:lvlJc w:val="left"/>
      <w:pPr>
        <w:ind w:left="855" w:hanging="49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5F3BA9"/>
    <w:multiLevelType w:val="hybridMultilevel"/>
    <w:tmpl w:val="20AA7CBE"/>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6" w15:restartNumberingAfterBreak="0">
    <w:nsid w:val="132472CA"/>
    <w:multiLevelType w:val="hybridMultilevel"/>
    <w:tmpl w:val="B454791E"/>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7" w15:restartNumberingAfterBreak="0">
    <w:nsid w:val="16FB3E52"/>
    <w:multiLevelType w:val="hybridMultilevel"/>
    <w:tmpl w:val="43545AD0"/>
    <w:lvl w:ilvl="0" w:tplc="245E6D3E">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4B4946"/>
    <w:multiLevelType w:val="hybridMultilevel"/>
    <w:tmpl w:val="A2E258BE"/>
    <w:lvl w:ilvl="0" w:tplc="322AF182">
      <w:start w:val="1"/>
      <w:numFmt w:val="decimal"/>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9" w15:restartNumberingAfterBreak="0">
    <w:nsid w:val="22570918"/>
    <w:multiLevelType w:val="hybridMultilevel"/>
    <w:tmpl w:val="E69ECCE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65C4643"/>
    <w:multiLevelType w:val="hybridMultilevel"/>
    <w:tmpl w:val="6858632A"/>
    <w:lvl w:ilvl="0" w:tplc="A47840CC">
      <w:start w:val="1"/>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3115967"/>
    <w:multiLevelType w:val="hybridMultilevel"/>
    <w:tmpl w:val="25AA45A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384D21E5"/>
    <w:multiLevelType w:val="hybridMultilevel"/>
    <w:tmpl w:val="3F086164"/>
    <w:lvl w:ilvl="0" w:tplc="04070013">
      <w:start w:val="1"/>
      <w:numFmt w:val="upperRoman"/>
      <w:lvlText w:val="%1."/>
      <w:lvlJc w:val="right"/>
      <w:pPr>
        <w:ind w:left="840" w:hanging="48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DB446E3"/>
    <w:multiLevelType w:val="hybridMultilevel"/>
    <w:tmpl w:val="8A18474C"/>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4" w15:restartNumberingAfterBreak="0">
    <w:nsid w:val="4ED86FE3"/>
    <w:multiLevelType w:val="hybridMultilevel"/>
    <w:tmpl w:val="6FF80114"/>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5" w15:restartNumberingAfterBreak="0">
    <w:nsid w:val="519745C1"/>
    <w:multiLevelType w:val="hybridMultilevel"/>
    <w:tmpl w:val="FF3C693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15:restartNumberingAfterBreak="0">
    <w:nsid w:val="51F731C0"/>
    <w:multiLevelType w:val="hybridMultilevel"/>
    <w:tmpl w:val="7E1207D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15:restartNumberingAfterBreak="0">
    <w:nsid w:val="587266C6"/>
    <w:multiLevelType w:val="hybridMultilevel"/>
    <w:tmpl w:val="325ED1C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8" w15:restartNumberingAfterBreak="0">
    <w:nsid w:val="5B4B2481"/>
    <w:multiLevelType w:val="hybridMultilevel"/>
    <w:tmpl w:val="4CC803A0"/>
    <w:lvl w:ilvl="0" w:tplc="6EE0EFC8">
      <w:start w:val="1"/>
      <w:numFmt w:val="bullet"/>
      <w:lvlText w:val="-"/>
      <w:lvlJc w:val="left"/>
      <w:pPr>
        <w:ind w:left="1428" w:hanging="360"/>
      </w:pPr>
      <w:rPr>
        <w:rFonts w:ascii="Calibri" w:eastAsia="Times New Roman" w:hAnsi="Calibri" w:cs="Times New Roman" w:hint="default"/>
      </w:rPr>
    </w:lvl>
    <w:lvl w:ilvl="1" w:tplc="0C070003">
      <w:start w:val="1"/>
      <w:numFmt w:val="bullet"/>
      <w:lvlText w:val="o"/>
      <w:lvlJc w:val="left"/>
      <w:pPr>
        <w:ind w:left="2148" w:hanging="360"/>
      </w:pPr>
      <w:rPr>
        <w:rFonts w:ascii="Courier New" w:hAnsi="Courier New" w:cs="Times New Roman"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Times New Roman"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Times New Roman" w:hint="default"/>
      </w:rPr>
    </w:lvl>
    <w:lvl w:ilvl="8" w:tplc="0C070005">
      <w:start w:val="1"/>
      <w:numFmt w:val="bullet"/>
      <w:lvlText w:val=""/>
      <w:lvlJc w:val="left"/>
      <w:pPr>
        <w:ind w:left="7188" w:hanging="360"/>
      </w:pPr>
      <w:rPr>
        <w:rFonts w:ascii="Wingdings" w:hAnsi="Wingdings" w:hint="default"/>
      </w:rPr>
    </w:lvl>
  </w:abstractNum>
  <w:abstractNum w:abstractNumId="19" w15:restartNumberingAfterBreak="0">
    <w:nsid w:val="69F7727F"/>
    <w:multiLevelType w:val="hybridMultilevel"/>
    <w:tmpl w:val="95C06FC2"/>
    <w:lvl w:ilvl="0" w:tplc="DF9A9DBA">
      <w:start w:val="1"/>
      <w:numFmt w:val="bullet"/>
      <w:lvlText w:val=""/>
      <w:lvlJc w:val="left"/>
      <w:pPr>
        <w:ind w:left="720" w:hanging="360"/>
      </w:pPr>
      <w:rPr>
        <w:rFonts w:ascii="Wingdings" w:eastAsia="Times New Roman" w:hAnsi="Wingdings"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3A5450F"/>
    <w:multiLevelType w:val="hybridMultilevel"/>
    <w:tmpl w:val="C23AA05E"/>
    <w:lvl w:ilvl="0" w:tplc="31D64D74">
      <w:start w:val="1"/>
      <w:numFmt w:val="bullet"/>
      <w:lvlText w:val="-"/>
      <w:lvlJc w:val="left"/>
      <w:pPr>
        <w:ind w:left="1428" w:hanging="360"/>
      </w:pPr>
      <w:rPr>
        <w:rFonts w:ascii="Calibri" w:eastAsia="Times New Roman" w:hAnsi="Calibri" w:cs="Times New Roman" w:hint="default"/>
      </w:rPr>
    </w:lvl>
    <w:lvl w:ilvl="1" w:tplc="0C070003">
      <w:start w:val="1"/>
      <w:numFmt w:val="bullet"/>
      <w:lvlText w:val="o"/>
      <w:lvlJc w:val="left"/>
      <w:pPr>
        <w:ind w:left="2148" w:hanging="360"/>
      </w:pPr>
      <w:rPr>
        <w:rFonts w:ascii="Courier New" w:hAnsi="Courier New" w:cs="Times New Roman"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Times New Roman"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Times New Roman" w:hint="default"/>
      </w:rPr>
    </w:lvl>
    <w:lvl w:ilvl="8" w:tplc="0C070005">
      <w:start w:val="1"/>
      <w:numFmt w:val="bullet"/>
      <w:lvlText w:val=""/>
      <w:lvlJc w:val="left"/>
      <w:pPr>
        <w:ind w:left="7188" w:hanging="360"/>
      </w:pPr>
      <w:rPr>
        <w:rFonts w:ascii="Wingdings" w:hAnsi="Wingdings" w:hint="default"/>
      </w:rPr>
    </w:lvl>
  </w:abstractNum>
  <w:abstractNum w:abstractNumId="21" w15:restartNumberingAfterBreak="0">
    <w:nsid w:val="760272D9"/>
    <w:multiLevelType w:val="hybridMultilevel"/>
    <w:tmpl w:val="907A4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8"/>
  </w:num>
  <w:num w:numId="5">
    <w:abstractNumId w:val="5"/>
  </w:num>
  <w:num w:numId="6">
    <w:abstractNumId w:val="3"/>
  </w:num>
  <w:num w:numId="7">
    <w:abstractNumId w:val="2"/>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7"/>
  </w:num>
  <w:num w:numId="13">
    <w:abstractNumId w:val="9"/>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2C"/>
    <w:rsid w:val="00012E17"/>
    <w:rsid w:val="000210BF"/>
    <w:rsid w:val="00022B61"/>
    <w:rsid w:val="00022E3E"/>
    <w:rsid w:val="00025106"/>
    <w:rsid w:val="0002570B"/>
    <w:rsid w:val="00027D5E"/>
    <w:rsid w:val="000331CB"/>
    <w:rsid w:val="000345E6"/>
    <w:rsid w:val="00034E26"/>
    <w:rsid w:val="000405D7"/>
    <w:rsid w:val="00043812"/>
    <w:rsid w:val="000447A5"/>
    <w:rsid w:val="00045AF6"/>
    <w:rsid w:val="000469EF"/>
    <w:rsid w:val="00052EBC"/>
    <w:rsid w:val="000578D6"/>
    <w:rsid w:val="00060833"/>
    <w:rsid w:val="0006339D"/>
    <w:rsid w:val="0007268E"/>
    <w:rsid w:val="00072E32"/>
    <w:rsid w:val="000740FA"/>
    <w:rsid w:val="000753D3"/>
    <w:rsid w:val="0007587C"/>
    <w:rsid w:val="00077C96"/>
    <w:rsid w:val="00080C05"/>
    <w:rsid w:val="00081E90"/>
    <w:rsid w:val="0008343C"/>
    <w:rsid w:val="00087519"/>
    <w:rsid w:val="0009076B"/>
    <w:rsid w:val="000908D6"/>
    <w:rsid w:val="00092DDF"/>
    <w:rsid w:val="0009402A"/>
    <w:rsid w:val="0009424C"/>
    <w:rsid w:val="000B008B"/>
    <w:rsid w:val="000B445F"/>
    <w:rsid w:val="000B5340"/>
    <w:rsid w:val="000C4BB9"/>
    <w:rsid w:val="000C5E4B"/>
    <w:rsid w:val="000D4FC3"/>
    <w:rsid w:val="000D738B"/>
    <w:rsid w:val="000E051C"/>
    <w:rsid w:val="000F462F"/>
    <w:rsid w:val="00105589"/>
    <w:rsid w:val="001122CE"/>
    <w:rsid w:val="00115A03"/>
    <w:rsid w:val="0011709E"/>
    <w:rsid w:val="00122A86"/>
    <w:rsid w:val="00122E3E"/>
    <w:rsid w:val="00123038"/>
    <w:rsid w:val="00123603"/>
    <w:rsid w:val="00126058"/>
    <w:rsid w:val="001266AB"/>
    <w:rsid w:val="00127EB1"/>
    <w:rsid w:val="00130DEE"/>
    <w:rsid w:val="00137D1A"/>
    <w:rsid w:val="00140196"/>
    <w:rsid w:val="00141A63"/>
    <w:rsid w:val="00154867"/>
    <w:rsid w:val="0015559A"/>
    <w:rsid w:val="001628C5"/>
    <w:rsid w:val="0017336B"/>
    <w:rsid w:val="0017442D"/>
    <w:rsid w:val="001828DB"/>
    <w:rsid w:val="001829FA"/>
    <w:rsid w:val="00184C71"/>
    <w:rsid w:val="00185847"/>
    <w:rsid w:val="00190198"/>
    <w:rsid w:val="00192694"/>
    <w:rsid w:val="001926E0"/>
    <w:rsid w:val="00192E74"/>
    <w:rsid w:val="001A5B76"/>
    <w:rsid w:val="001A6297"/>
    <w:rsid w:val="001A6851"/>
    <w:rsid w:val="001B2AF4"/>
    <w:rsid w:val="001B36D2"/>
    <w:rsid w:val="001B428C"/>
    <w:rsid w:val="001B7865"/>
    <w:rsid w:val="001C27D0"/>
    <w:rsid w:val="001D325F"/>
    <w:rsid w:val="001D4358"/>
    <w:rsid w:val="001D472E"/>
    <w:rsid w:val="001D7741"/>
    <w:rsid w:val="001E1AC7"/>
    <w:rsid w:val="001E3F8F"/>
    <w:rsid w:val="001E5A71"/>
    <w:rsid w:val="001E5C50"/>
    <w:rsid w:val="001E6CBE"/>
    <w:rsid w:val="001E773E"/>
    <w:rsid w:val="001F3073"/>
    <w:rsid w:val="001F47E7"/>
    <w:rsid w:val="00201AED"/>
    <w:rsid w:val="002038D5"/>
    <w:rsid w:val="00204247"/>
    <w:rsid w:val="002059DF"/>
    <w:rsid w:val="002064EF"/>
    <w:rsid w:val="00206C50"/>
    <w:rsid w:val="00211067"/>
    <w:rsid w:val="00215A3D"/>
    <w:rsid w:val="00222E53"/>
    <w:rsid w:val="00222E68"/>
    <w:rsid w:val="002404E3"/>
    <w:rsid w:val="002420BC"/>
    <w:rsid w:val="00243539"/>
    <w:rsid w:val="002439F2"/>
    <w:rsid w:val="00253D85"/>
    <w:rsid w:val="00264E21"/>
    <w:rsid w:val="0028063B"/>
    <w:rsid w:val="002816B7"/>
    <w:rsid w:val="00285BDB"/>
    <w:rsid w:val="00287406"/>
    <w:rsid w:val="002879ED"/>
    <w:rsid w:val="00291C7C"/>
    <w:rsid w:val="0029366D"/>
    <w:rsid w:val="002A1135"/>
    <w:rsid w:val="002A4525"/>
    <w:rsid w:val="002B4E21"/>
    <w:rsid w:val="002C45AC"/>
    <w:rsid w:val="002C774B"/>
    <w:rsid w:val="002D15AD"/>
    <w:rsid w:val="002D3565"/>
    <w:rsid w:val="002D4EDD"/>
    <w:rsid w:val="002D5F8D"/>
    <w:rsid w:val="002D7450"/>
    <w:rsid w:val="002E106D"/>
    <w:rsid w:val="002E2DD9"/>
    <w:rsid w:val="002E33AB"/>
    <w:rsid w:val="002E5502"/>
    <w:rsid w:val="002E690E"/>
    <w:rsid w:val="002F36E4"/>
    <w:rsid w:val="002F4072"/>
    <w:rsid w:val="002F6223"/>
    <w:rsid w:val="002F69FE"/>
    <w:rsid w:val="00300864"/>
    <w:rsid w:val="00311D66"/>
    <w:rsid w:val="00317F3E"/>
    <w:rsid w:val="00324780"/>
    <w:rsid w:val="00324CBF"/>
    <w:rsid w:val="00330879"/>
    <w:rsid w:val="00332380"/>
    <w:rsid w:val="00336651"/>
    <w:rsid w:val="00337841"/>
    <w:rsid w:val="0034599D"/>
    <w:rsid w:val="0034723E"/>
    <w:rsid w:val="00351B83"/>
    <w:rsid w:val="00353C08"/>
    <w:rsid w:val="003603BA"/>
    <w:rsid w:val="00360D18"/>
    <w:rsid w:val="0036789E"/>
    <w:rsid w:val="00367AEE"/>
    <w:rsid w:val="00380788"/>
    <w:rsid w:val="0038214C"/>
    <w:rsid w:val="003823CD"/>
    <w:rsid w:val="003824C8"/>
    <w:rsid w:val="00390890"/>
    <w:rsid w:val="0039202B"/>
    <w:rsid w:val="003936DC"/>
    <w:rsid w:val="00394D41"/>
    <w:rsid w:val="003A5ED0"/>
    <w:rsid w:val="003A7C91"/>
    <w:rsid w:val="003B3E65"/>
    <w:rsid w:val="003B493B"/>
    <w:rsid w:val="003B5042"/>
    <w:rsid w:val="003C605A"/>
    <w:rsid w:val="003D3046"/>
    <w:rsid w:val="003D5DC3"/>
    <w:rsid w:val="003E107F"/>
    <w:rsid w:val="003E2214"/>
    <w:rsid w:val="003E775F"/>
    <w:rsid w:val="003F6329"/>
    <w:rsid w:val="003F7E1B"/>
    <w:rsid w:val="00405BF8"/>
    <w:rsid w:val="004062B8"/>
    <w:rsid w:val="00410C22"/>
    <w:rsid w:val="00414E15"/>
    <w:rsid w:val="00423258"/>
    <w:rsid w:val="00437CAB"/>
    <w:rsid w:val="00437EA3"/>
    <w:rsid w:val="00440067"/>
    <w:rsid w:val="0045581D"/>
    <w:rsid w:val="00456578"/>
    <w:rsid w:val="004660A0"/>
    <w:rsid w:val="00471C10"/>
    <w:rsid w:val="00471CAF"/>
    <w:rsid w:val="00473031"/>
    <w:rsid w:val="004734B7"/>
    <w:rsid w:val="00475FC0"/>
    <w:rsid w:val="00477A63"/>
    <w:rsid w:val="0048175E"/>
    <w:rsid w:val="004841CA"/>
    <w:rsid w:val="0049380D"/>
    <w:rsid w:val="004A3083"/>
    <w:rsid w:val="004A38D3"/>
    <w:rsid w:val="004A5E30"/>
    <w:rsid w:val="004A796D"/>
    <w:rsid w:val="004B0D7E"/>
    <w:rsid w:val="004B48BA"/>
    <w:rsid w:val="004C2807"/>
    <w:rsid w:val="004C42CE"/>
    <w:rsid w:val="004C6992"/>
    <w:rsid w:val="004D4670"/>
    <w:rsid w:val="004E0AF3"/>
    <w:rsid w:val="004E0CAE"/>
    <w:rsid w:val="004E18DF"/>
    <w:rsid w:val="004F2117"/>
    <w:rsid w:val="004F30FB"/>
    <w:rsid w:val="004F3D83"/>
    <w:rsid w:val="004F716A"/>
    <w:rsid w:val="005073BE"/>
    <w:rsid w:val="005326AD"/>
    <w:rsid w:val="00535383"/>
    <w:rsid w:val="00543ED3"/>
    <w:rsid w:val="00544385"/>
    <w:rsid w:val="00564E90"/>
    <w:rsid w:val="00565278"/>
    <w:rsid w:val="005674D8"/>
    <w:rsid w:val="00572ABA"/>
    <w:rsid w:val="00573409"/>
    <w:rsid w:val="005736F9"/>
    <w:rsid w:val="00580D80"/>
    <w:rsid w:val="005859EF"/>
    <w:rsid w:val="00591A98"/>
    <w:rsid w:val="00591BD7"/>
    <w:rsid w:val="0059215F"/>
    <w:rsid w:val="005B0ED1"/>
    <w:rsid w:val="005C2C29"/>
    <w:rsid w:val="005C3FE0"/>
    <w:rsid w:val="005C530B"/>
    <w:rsid w:val="005C6704"/>
    <w:rsid w:val="005C76BC"/>
    <w:rsid w:val="005E4759"/>
    <w:rsid w:val="005E6551"/>
    <w:rsid w:val="005F3093"/>
    <w:rsid w:val="005F698D"/>
    <w:rsid w:val="006000A1"/>
    <w:rsid w:val="00601398"/>
    <w:rsid w:val="00612894"/>
    <w:rsid w:val="0062065A"/>
    <w:rsid w:val="0062127C"/>
    <w:rsid w:val="00625062"/>
    <w:rsid w:val="0062562D"/>
    <w:rsid w:val="00630556"/>
    <w:rsid w:val="006319DF"/>
    <w:rsid w:val="00633444"/>
    <w:rsid w:val="00640788"/>
    <w:rsid w:val="00642F4C"/>
    <w:rsid w:val="00646F7B"/>
    <w:rsid w:val="006509A7"/>
    <w:rsid w:val="00650A41"/>
    <w:rsid w:val="006538FE"/>
    <w:rsid w:val="00654CEB"/>
    <w:rsid w:val="006633FE"/>
    <w:rsid w:val="00670F96"/>
    <w:rsid w:val="00671359"/>
    <w:rsid w:val="00676E89"/>
    <w:rsid w:val="006809B8"/>
    <w:rsid w:val="00685127"/>
    <w:rsid w:val="00686F40"/>
    <w:rsid w:val="006956A1"/>
    <w:rsid w:val="006A70A2"/>
    <w:rsid w:val="006B3DEE"/>
    <w:rsid w:val="006C2B9A"/>
    <w:rsid w:val="006C4B6E"/>
    <w:rsid w:val="006C605B"/>
    <w:rsid w:val="006C6745"/>
    <w:rsid w:val="006C71DA"/>
    <w:rsid w:val="006E4A35"/>
    <w:rsid w:val="006E5E5D"/>
    <w:rsid w:val="006E65D9"/>
    <w:rsid w:val="006F6535"/>
    <w:rsid w:val="00703FE7"/>
    <w:rsid w:val="007049A3"/>
    <w:rsid w:val="00706489"/>
    <w:rsid w:val="007068EC"/>
    <w:rsid w:val="0071780E"/>
    <w:rsid w:val="00717CA8"/>
    <w:rsid w:val="007338FB"/>
    <w:rsid w:val="00736B17"/>
    <w:rsid w:val="00736D1D"/>
    <w:rsid w:val="00737196"/>
    <w:rsid w:val="00743F7A"/>
    <w:rsid w:val="00745D65"/>
    <w:rsid w:val="0074664B"/>
    <w:rsid w:val="00746B6C"/>
    <w:rsid w:val="007539C4"/>
    <w:rsid w:val="007545AA"/>
    <w:rsid w:val="007649D7"/>
    <w:rsid w:val="0077291D"/>
    <w:rsid w:val="0077321C"/>
    <w:rsid w:val="007814C2"/>
    <w:rsid w:val="0078281E"/>
    <w:rsid w:val="007840E9"/>
    <w:rsid w:val="00786196"/>
    <w:rsid w:val="00794025"/>
    <w:rsid w:val="00795BE3"/>
    <w:rsid w:val="00796D69"/>
    <w:rsid w:val="007A0E8D"/>
    <w:rsid w:val="007A300D"/>
    <w:rsid w:val="007A3649"/>
    <w:rsid w:val="007A64D3"/>
    <w:rsid w:val="007A66C5"/>
    <w:rsid w:val="007A6A94"/>
    <w:rsid w:val="007A78D4"/>
    <w:rsid w:val="007B301F"/>
    <w:rsid w:val="007B3E6F"/>
    <w:rsid w:val="007B5A8C"/>
    <w:rsid w:val="007C06B1"/>
    <w:rsid w:val="007C12AC"/>
    <w:rsid w:val="007C6CFC"/>
    <w:rsid w:val="007C7134"/>
    <w:rsid w:val="007D27B3"/>
    <w:rsid w:val="007D6CB7"/>
    <w:rsid w:val="007E49FA"/>
    <w:rsid w:val="007E6ACA"/>
    <w:rsid w:val="007F0E88"/>
    <w:rsid w:val="007F1369"/>
    <w:rsid w:val="007F4ADA"/>
    <w:rsid w:val="00802710"/>
    <w:rsid w:val="00805511"/>
    <w:rsid w:val="00805966"/>
    <w:rsid w:val="00806F9F"/>
    <w:rsid w:val="00807D13"/>
    <w:rsid w:val="008112C9"/>
    <w:rsid w:val="0081262C"/>
    <w:rsid w:val="0081334F"/>
    <w:rsid w:val="00815EF0"/>
    <w:rsid w:val="008220E6"/>
    <w:rsid w:val="008358B8"/>
    <w:rsid w:val="008367D4"/>
    <w:rsid w:val="0084096F"/>
    <w:rsid w:val="008459CF"/>
    <w:rsid w:val="00845FB8"/>
    <w:rsid w:val="00846FB2"/>
    <w:rsid w:val="0085027F"/>
    <w:rsid w:val="00850ED8"/>
    <w:rsid w:val="00852C07"/>
    <w:rsid w:val="00856195"/>
    <w:rsid w:val="00857E70"/>
    <w:rsid w:val="00862772"/>
    <w:rsid w:val="00863470"/>
    <w:rsid w:val="008676D0"/>
    <w:rsid w:val="00867B49"/>
    <w:rsid w:val="008707E5"/>
    <w:rsid w:val="00870A8B"/>
    <w:rsid w:val="0087314E"/>
    <w:rsid w:val="00882264"/>
    <w:rsid w:val="00882D74"/>
    <w:rsid w:val="00883742"/>
    <w:rsid w:val="00887DF1"/>
    <w:rsid w:val="00887F1B"/>
    <w:rsid w:val="00893D25"/>
    <w:rsid w:val="00894219"/>
    <w:rsid w:val="008954E9"/>
    <w:rsid w:val="008A019C"/>
    <w:rsid w:val="008A197C"/>
    <w:rsid w:val="008B08B0"/>
    <w:rsid w:val="008B55AA"/>
    <w:rsid w:val="008B7228"/>
    <w:rsid w:val="008C131E"/>
    <w:rsid w:val="008C27E5"/>
    <w:rsid w:val="008C2809"/>
    <w:rsid w:val="008C48B6"/>
    <w:rsid w:val="008D0253"/>
    <w:rsid w:val="008D21FD"/>
    <w:rsid w:val="008D3F50"/>
    <w:rsid w:val="008E0B18"/>
    <w:rsid w:val="008E5B17"/>
    <w:rsid w:val="008E5DC5"/>
    <w:rsid w:val="008E7DAE"/>
    <w:rsid w:val="008E7E3C"/>
    <w:rsid w:val="008F0A6B"/>
    <w:rsid w:val="008F6280"/>
    <w:rsid w:val="009012D1"/>
    <w:rsid w:val="00902309"/>
    <w:rsid w:val="0090544F"/>
    <w:rsid w:val="0090591D"/>
    <w:rsid w:val="0091341A"/>
    <w:rsid w:val="00914FF0"/>
    <w:rsid w:val="0091547D"/>
    <w:rsid w:val="009233A8"/>
    <w:rsid w:val="0092631D"/>
    <w:rsid w:val="00927A25"/>
    <w:rsid w:val="00927A75"/>
    <w:rsid w:val="00933F07"/>
    <w:rsid w:val="009357D6"/>
    <w:rsid w:val="00943C51"/>
    <w:rsid w:val="009447B0"/>
    <w:rsid w:val="00946234"/>
    <w:rsid w:val="0094684B"/>
    <w:rsid w:val="00946E71"/>
    <w:rsid w:val="00951864"/>
    <w:rsid w:val="00952EF8"/>
    <w:rsid w:val="00954ADE"/>
    <w:rsid w:val="00960BDE"/>
    <w:rsid w:val="009615F2"/>
    <w:rsid w:val="00966AF9"/>
    <w:rsid w:val="00986160"/>
    <w:rsid w:val="00987554"/>
    <w:rsid w:val="00995CCB"/>
    <w:rsid w:val="009A64DA"/>
    <w:rsid w:val="009B3E38"/>
    <w:rsid w:val="009C2649"/>
    <w:rsid w:val="009C27D5"/>
    <w:rsid w:val="009C7118"/>
    <w:rsid w:val="009D0B40"/>
    <w:rsid w:val="009E214B"/>
    <w:rsid w:val="009E2A38"/>
    <w:rsid w:val="009E373E"/>
    <w:rsid w:val="009E4178"/>
    <w:rsid w:val="009E6514"/>
    <w:rsid w:val="009F1ECB"/>
    <w:rsid w:val="009F4454"/>
    <w:rsid w:val="009F50CC"/>
    <w:rsid w:val="009F7654"/>
    <w:rsid w:val="00A01CFD"/>
    <w:rsid w:val="00A10161"/>
    <w:rsid w:val="00A142C7"/>
    <w:rsid w:val="00A143C5"/>
    <w:rsid w:val="00A17E12"/>
    <w:rsid w:val="00A215E6"/>
    <w:rsid w:val="00A25E1D"/>
    <w:rsid w:val="00A26BF9"/>
    <w:rsid w:val="00A34F21"/>
    <w:rsid w:val="00A37274"/>
    <w:rsid w:val="00A424B8"/>
    <w:rsid w:val="00A4252A"/>
    <w:rsid w:val="00A44FD4"/>
    <w:rsid w:val="00A46285"/>
    <w:rsid w:val="00A46CF6"/>
    <w:rsid w:val="00A472FC"/>
    <w:rsid w:val="00A56C10"/>
    <w:rsid w:val="00A5773B"/>
    <w:rsid w:val="00A705DC"/>
    <w:rsid w:val="00A70945"/>
    <w:rsid w:val="00A743F3"/>
    <w:rsid w:val="00A80280"/>
    <w:rsid w:val="00A83619"/>
    <w:rsid w:val="00A90BEE"/>
    <w:rsid w:val="00AA1420"/>
    <w:rsid w:val="00AA1606"/>
    <w:rsid w:val="00AB27E0"/>
    <w:rsid w:val="00AB447D"/>
    <w:rsid w:val="00AB5D43"/>
    <w:rsid w:val="00AB6A97"/>
    <w:rsid w:val="00AC038E"/>
    <w:rsid w:val="00AC5AAB"/>
    <w:rsid w:val="00AC7881"/>
    <w:rsid w:val="00AD0E54"/>
    <w:rsid w:val="00AD5B1A"/>
    <w:rsid w:val="00AE08D1"/>
    <w:rsid w:val="00AE1C5F"/>
    <w:rsid w:val="00AE4B36"/>
    <w:rsid w:val="00AF6CB0"/>
    <w:rsid w:val="00B0009A"/>
    <w:rsid w:val="00B03F75"/>
    <w:rsid w:val="00B056FD"/>
    <w:rsid w:val="00B119FE"/>
    <w:rsid w:val="00B11F5A"/>
    <w:rsid w:val="00B16E0B"/>
    <w:rsid w:val="00B31FEE"/>
    <w:rsid w:val="00B414A2"/>
    <w:rsid w:val="00B44ABB"/>
    <w:rsid w:val="00B44C84"/>
    <w:rsid w:val="00B47CC8"/>
    <w:rsid w:val="00B51090"/>
    <w:rsid w:val="00B53E6E"/>
    <w:rsid w:val="00B6278C"/>
    <w:rsid w:val="00B71540"/>
    <w:rsid w:val="00B8051D"/>
    <w:rsid w:val="00B81376"/>
    <w:rsid w:val="00B817E4"/>
    <w:rsid w:val="00B82764"/>
    <w:rsid w:val="00B8495D"/>
    <w:rsid w:val="00B904C5"/>
    <w:rsid w:val="00BA02A4"/>
    <w:rsid w:val="00BA66B5"/>
    <w:rsid w:val="00BB0E65"/>
    <w:rsid w:val="00BB5224"/>
    <w:rsid w:val="00BB595F"/>
    <w:rsid w:val="00BB5B7E"/>
    <w:rsid w:val="00BB649F"/>
    <w:rsid w:val="00BC3E93"/>
    <w:rsid w:val="00BC4E07"/>
    <w:rsid w:val="00BC6C2B"/>
    <w:rsid w:val="00BD2A0B"/>
    <w:rsid w:val="00BD3F4F"/>
    <w:rsid w:val="00BD412A"/>
    <w:rsid w:val="00BD7061"/>
    <w:rsid w:val="00BE4E97"/>
    <w:rsid w:val="00BF0F7C"/>
    <w:rsid w:val="00C01868"/>
    <w:rsid w:val="00C02A70"/>
    <w:rsid w:val="00C03287"/>
    <w:rsid w:val="00C0405C"/>
    <w:rsid w:val="00C13200"/>
    <w:rsid w:val="00C15123"/>
    <w:rsid w:val="00C17ACA"/>
    <w:rsid w:val="00C24A0F"/>
    <w:rsid w:val="00C260BA"/>
    <w:rsid w:val="00C26AB4"/>
    <w:rsid w:val="00C310BE"/>
    <w:rsid w:val="00C31194"/>
    <w:rsid w:val="00C3301A"/>
    <w:rsid w:val="00C362BD"/>
    <w:rsid w:val="00C37EC5"/>
    <w:rsid w:val="00C41531"/>
    <w:rsid w:val="00C42FAD"/>
    <w:rsid w:val="00C501F7"/>
    <w:rsid w:val="00C532A4"/>
    <w:rsid w:val="00C607BA"/>
    <w:rsid w:val="00C60E16"/>
    <w:rsid w:val="00C61C31"/>
    <w:rsid w:val="00C63F49"/>
    <w:rsid w:val="00C70879"/>
    <w:rsid w:val="00C72973"/>
    <w:rsid w:val="00C77143"/>
    <w:rsid w:val="00C82127"/>
    <w:rsid w:val="00C83056"/>
    <w:rsid w:val="00C96514"/>
    <w:rsid w:val="00CA0FEE"/>
    <w:rsid w:val="00CB0E32"/>
    <w:rsid w:val="00CC0192"/>
    <w:rsid w:val="00CC0831"/>
    <w:rsid w:val="00CC1807"/>
    <w:rsid w:val="00CC1DB4"/>
    <w:rsid w:val="00CC4FEC"/>
    <w:rsid w:val="00CD0514"/>
    <w:rsid w:val="00CD6082"/>
    <w:rsid w:val="00CD78B7"/>
    <w:rsid w:val="00CE4AFA"/>
    <w:rsid w:val="00CE7A30"/>
    <w:rsid w:val="00CF3664"/>
    <w:rsid w:val="00CF3EDA"/>
    <w:rsid w:val="00D012A1"/>
    <w:rsid w:val="00D036A9"/>
    <w:rsid w:val="00D049FE"/>
    <w:rsid w:val="00D10A44"/>
    <w:rsid w:val="00D11727"/>
    <w:rsid w:val="00D12E3A"/>
    <w:rsid w:val="00D20DB9"/>
    <w:rsid w:val="00D23BF8"/>
    <w:rsid w:val="00D31CF6"/>
    <w:rsid w:val="00D372B6"/>
    <w:rsid w:val="00D37DD6"/>
    <w:rsid w:val="00D43459"/>
    <w:rsid w:val="00D478D1"/>
    <w:rsid w:val="00D54992"/>
    <w:rsid w:val="00D56C55"/>
    <w:rsid w:val="00D602D4"/>
    <w:rsid w:val="00D60F8B"/>
    <w:rsid w:val="00D6157D"/>
    <w:rsid w:val="00D67030"/>
    <w:rsid w:val="00D67410"/>
    <w:rsid w:val="00D72436"/>
    <w:rsid w:val="00D90E27"/>
    <w:rsid w:val="00D918CE"/>
    <w:rsid w:val="00D94527"/>
    <w:rsid w:val="00DA093D"/>
    <w:rsid w:val="00DA6DAF"/>
    <w:rsid w:val="00DB0993"/>
    <w:rsid w:val="00DB4667"/>
    <w:rsid w:val="00DD3F8E"/>
    <w:rsid w:val="00DE03CB"/>
    <w:rsid w:val="00DE0E46"/>
    <w:rsid w:val="00DE22A5"/>
    <w:rsid w:val="00DE534C"/>
    <w:rsid w:val="00DE6886"/>
    <w:rsid w:val="00E047C8"/>
    <w:rsid w:val="00E073AD"/>
    <w:rsid w:val="00E10B38"/>
    <w:rsid w:val="00E13600"/>
    <w:rsid w:val="00E20DBE"/>
    <w:rsid w:val="00E2192F"/>
    <w:rsid w:val="00E2193E"/>
    <w:rsid w:val="00E23C4E"/>
    <w:rsid w:val="00E27EB0"/>
    <w:rsid w:val="00E41887"/>
    <w:rsid w:val="00E50A3B"/>
    <w:rsid w:val="00E55B24"/>
    <w:rsid w:val="00E6290D"/>
    <w:rsid w:val="00E638C6"/>
    <w:rsid w:val="00E73411"/>
    <w:rsid w:val="00E75A9F"/>
    <w:rsid w:val="00E800F7"/>
    <w:rsid w:val="00E83742"/>
    <w:rsid w:val="00E97215"/>
    <w:rsid w:val="00EA1D56"/>
    <w:rsid w:val="00EA572D"/>
    <w:rsid w:val="00EA5B37"/>
    <w:rsid w:val="00EA7710"/>
    <w:rsid w:val="00EB2DE1"/>
    <w:rsid w:val="00EB4884"/>
    <w:rsid w:val="00EC0EBA"/>
    <w:rsid w:val="00EC2929"/>
    <w:rsid w:val="00EC450F"/>
    <w:rsid w:val="00EC6212"/>
    <w:rsid w:val="00EC7E37"/>
    <w:rsid w:val="00ED2DD6"/>
    <w:rsid w:val="00ED3393"/>
    <w:rsid w:val="00EE1BF9"/>
    <w:rsid w:val="00EE1FCE"/>
    <w:rsid w:val="00EE41CD"/>
    <w:rsid w:val="00F0083F"/>
    <w:rsid w:val="00F069A9"/>
    <w:rsid w:val="00F07DFC"/>
    <w:rsid w:val="00F16651"/>
    <w:rsid w:val="00F26632"/>
    <w:rsid w:val="00F302D3"/>
    <w:rsid w:val="00F309FC"/>
    <w:rsid w:val="00F31557"/>
    <w:rsid w:val="00F32BCA"/>
    <w:rsid w:val="00F33E32"/>
    <w:rsid w:val="00F34255"/>
    <w:rsid w:val="00F41D2C"/>
    <w:rsid w:val="00F424FB"/>
    <w:rsid w:val="00F457FB"/>
    <w:rsid w:val="00F54796"/>
    <w:rsid w:val="00F54D82"/>
    <w:rsid w:val="00F61283"/>
    <w:rsid w:val="00F66A05"/>
    <w:rsid w:val="00F677CA"/>
    <w:rsid w:val="00F72B06"/>
    <w:rsid w:val="00F7743D"/>
    <w:rsid w:val="00F93962"/>
    <w:rsid w:val="00F9450E"/>
    <w:rsid w:val="00F949BD"/>
    <w:rsid w:val="00F956D5"/>
    <w:rsid w:val="00FA2479"/>
    <w:rsid w:val="00FA2690"/>
    <w:rsid w:val="00FA6D3B"/>
    <w:rsid w:val="00FB1CA4"/>
    <w:rsid w:val="00FB2E88"/>
    <w:rsid w:val="00FB6AA9"/>
    <w:rsid w:val="00FB6E13"/>
    <w:rsid w:val="00FB7E8C"/>
    <w:rsid w:val="00FC076B"/>
    <w:rsid w:val="00FD6440"/>
    <w:rsid w:val="00FD65BB"/>
    <w:rsid w:val="00FD7A97"/>
    <w:rsid w:val="00FE0953"/>
    <w:rsid w:val="00FE164F"/>
    <w:rsid w:val="00FE7609"/>
    <w:rsid w:val="00FF35F8"/>
    <w:rsid w:val="00FF6E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9ABE36"/>
  <w15:chartTrackingRefBased/>
  <w15:docId w15:val="{9CF2B048-469C-491C-B558-54EAC863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qFormat/>
    <w:rsid w:val="009E6514"/>
    <w:pPr>
      <w:keepNext/>
      <w:spacing w:before="240" w:after="240"/>
      <w:outlineLvl w:val="1"/>
    </w:pPr>
    <w:rPr>
      <w:rFonts w:ascii="Optima" w:hAnsi="Optima"/>
      <w:b/>
      <w:caps/>
      <w:sz w:val="32"/>
    </w:rPr>
  </w:style>
  <w:style w:type="paragraph" w:styleId="berschrift3">
    <w:name w:val="heading 3"/>
    <w:basedOn w:val="Standard"/>
    <w:next w:val="Standard"/>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rsid w:val="0081262C"/>
    <w:pPr>
      <w:tabs>
        <w:tab w:val="center" w:pos="4536"/>
        <w:tab w:val="right" w:pos="9072"/>
      </w:tabs>
    </w:pPr>
  </w:style>
  <w:style w:type="paragraph" w:styleId="Fuzeile">
    <w:name w:val="footer"/>
    <w:basedOn w:val="Standard"/>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semiHidden/>
    <w:rsid w:val="00330879"/>
    <w:rPr>
      <w:rFonts w:ascii="Tahoma" w:hAnsi="Tahoma" w:cs="Tahoma"/>
      <w:sz w:val="16"/>
      <w:szCs w:val="16"/>
    </w:rPr>
  </w:style>
  <w:style w:type="character" w:styleId="Hyperlink">
    <w:name w:val="Hyperlink"/>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uiPriority w:val="20"/>
    <w:qFormat/>
    <w:rsid w:val="00F26632"/>
    <w:rPr>
      <w:i/>
      <w:iCs/>
    </w:rPr>
  </w:style>
  <w:style w:type="paragraph" w:styleId="Listenabsatz">
    <w:name w:val="List Paragraph"/>
    <w:basedOn w:val="Standard"/>
    <w:uiPriority w:val="34"/>
    <w:qFormat/>
    <w:rsid w:val="00D10A44"/>
    <w:pPr>
      <w:ind w:left="708"/>
    </w:pPr>
  </w:style>
  <w:style w:type="paragraph" w:styleId="NurText">
    <w:name w:val="Plain Text"/>
    <w:basedOn w:val="Standard"/>
    <w:link w:val="NurTextZchn"/>
    <w:uiPriority w:val="99"/>
    <w:unhideWhenUsed/>
    <w:rsid w:val="00C17ACA"/>
    <w:pPr>
      <w:spacing w:line="240" w:lineRule="auto"/>
    </w:pPr>
    <w:rPr>
      <w:rFonts w:ascii="Calibri" w:hAnsi="Calibri"/>
      <w:szCs w:val="21"/>
      <w:lang w:val="x-none" w:eastAsia="x-none"/>
    </w:rPr>
  </w:style>
  <w:style w:type="character" w:customStyle="1" w:styleId="NurTextZchn">
    <w:name w:val="Nur Text Zchn"/>
    <w:link w:val="NurText"/>
    <w:uiPriority w:val="99"/>
    <w:rsid w:val="00C17ACA"/>
    <w:rPr>
      <w:rFonts w:ascii="Calibri" w:hAnsi="Calibri"/>
      <w:sz w:val="22"/>
      <w:szCs w:val="21"/>
    </w:rPr>
  </w:style>
  <w:style w:type="character" w:styleId="Kommentarzeichen">
    <w:name w:val="annotation reference"/>
    <w:rsid w:val="005859EF"/>
    <w:rPr>
      <w:sz w:val="16"/>
      <w:szCs w:val="16"/>
    </w:rPr>
  </w:style>
  <w:style w:type="paragraph" w:styleId="Kommentartext">
    <w:name w:val="annotation text"/>
    <w:basedOn w:val="Standard"/>
    <w:link w:val="KommentartextZchn"/>
    <w:rsid w:val="005859EF"/>
    <w:rPr>
      <w:sz w:val="20"/>
      <w:lang w:val="x-none" w:eastAsia="x-none"/>
    </w:rPr>
  </w:style>
  <w:style w:type="character" w:customStyle="1" w:styleId="KommentartextZchn">
    <w:name w:val="Kommentartext Zchn"/>
    <w:link w:val="Kommentartext"/>
    <w:rsid w:val="005859EF"/>
    <w:rPr>
      <w:rFonts w:ascii="Trebuchet MS" w:hAnsi="Trebuchet MS"/>
    </w:rPr>
  </w:style>
  <w:style w:type="paragraph" w:styleId="Kommentarthema">
    <w:name w:val="annotation subject"/>
    <w:basedOn w:val="Kommentartext"/>
    <w:next w:val="Kommentartext"/>
    <w:link w:val="KommentarthemaZchn"/>
    <w:rsid w:val="005859EF"/>
    <w:rPr>
      <w:b/>
      <w:bCs/>
    </w:rPr>
  </w:style>
  <w:style w:type="character" w:customStyle="1" w:styleId="KommentarthemaZchn">
    <w:name w:val="Kommentarthema Zchn"/>
    <w:link w:val="Kommentarthema"/>
    <w:rsid w:val="005859EF"/>
    <w:rPr>
      <w:rFonts w:ascii="Trebuchet MS" w:hAnsi="Trebuchet MS"/>
      <w:b/>
      <w:bCs/>
    </w:rPr>
  </w:style>
  <w:style w:type="paragraph" w:customStyle="1" w:styleId="21NovAo1">
    <w:name w:val="21_NovAo1"/>
    <w:basedOn w:val="Standard"/>
    <w:uiPriority w:val="99"/>
    <w:rsid w:val="00633444"/>
    <w:pPr>
      <w:keepNext/>
      <w:snapToGrid w:val="0"/>
      <w:spacing w:before="160" w:line="220" w:lineRule="exact"/>
      <w:jc w:val="both"/>
    </w:pPr>
    <w:rPr>
      <w:rFonts w:ascii="Times New Roman" w:eastAsia="Calibri" w:hAnsi="Times New Roman"/>
      <w:i/>
      <w:iCs/>
      <w:color w:val="000000"/>
      <w:sz w:val="20"/>
      <w:lang w:val="de-AT" w:eastAsia="de-AT"/>
    </w:rPr>
  </w:style>
  <w:style w:type="character" w:customStyle="1" w:styleId="FunotentextZchn">
    <w:name w:val="Fußnotentext Zchn"/>
    <w:link w:val="Funotentext"/>
    <w:uiPriority w:val="99"/>
    <w:semiHidden/>
    <w:rsid w:val="00D20DB9"/>
    <w:rPr>
      <w:rFonts w:ascii="Trebuchet MS" w:hAnsi="Trebuchet MS"/>
      <w:sz w:val="18"/>
      <w:lang w:val="de-DE" w:eastAsia="de-DE"/>
    </w:rPr>
  </w:style>
  <w:style w:type="paragraph" w:customStyle="1" w:styleId="VVOFliesstextAbsatz">
    <w:name w:val="* VVO Fliesstext Absatz"/>
    <w:rsid w:val="00D20DB9"/>
    <w:pPr>
      <w:spacing w:after="140" w:line="280" w:lineRule="exact"/>
    </w:pPr>
    <w:rPr>
      <w:color w:val="000000"/>
      <w:sz w:val="22"/>
      <w:lang w:val="de-DE" w:eastAsia="de-DE"/>
    </w:rPr>
  </w:style>
  <w:style w:type="character" w:styleId="Funotenzeichen">
    <w:name w:val="footnote reference"/>
    <w:uiPriority w:val="99"/>
    <w:unhideWhenUsed/>
    <w:rsid w:val="00D20DB9"/>
    <w:rPr>
      <w:vertAlign w:val="superscript"/>
    </w:rPr>
  </w:style>
  <w:style w:type="character" w:customStyle="1" w:styleId="BesuchterHyperlink">
    <w:name w:val="BesuchterHyperlink"/>
    <w:rsid w:val="0081334F"/>
    <w:rPr>
      <w:color w:val="800080"/>
      <w:u w:val="single"/>
    </w:rPr>
  </w:style>
  <w:style w:type="paragraph" w:customStyle="1" w:styleId="Default">
    <w:name w:val="Default"/>
    <w:basedOn w:val="Standard"/>
    <w:rsid w:val="0081334F"/>
    <w:pPr>
      <w:autoSpaceDE w:val="0"/>
      <w:autoSpaceDN w:val="0"/>
      <w:spacing w:line="240" w:lineRule="auto"/>
    </w:pPr>
    <w:rPr>
      <w:rFonts w:ascii="Times New Roman" w:eastAsia="Calibri" w:hAnsi="Times New Roman"/>
      <w:color w:val="000000"/>
      <w:sz w:val="24"/>
      <w:szCs w:val="24"/>
      <w:lang w:val="de-AT" w:eastAsia="de-AT"/>
    </w:rPr>
  </w:style>
  <w:style w:type="character" w:styleId="HTMLSchreibmaschine">
    <w:name w:val="HTML Typewriter"/>
    <w:uiPriority w:val="99"/>
    <w:unhideWhenUsed/>
    <w:rsid w:val="002F4072"/>
    <w:rPr>
      <w:rFonts w:ascii="Courier New" w:eastAsia="Calibri" w:hAnsi="Courier New" w:cs="Courier New" w:hint="default"/>
      <w:sz w:val="20"/>
      <w:szCs w:val="20"/>
    </w:rPr>
  </w:style>
  <w:style w:type="character" w:styleId="Fett">
    <w:name w:val="Strong"/>
    <w:uiPriority w:val="22"/>
    <w:qFormat/>
    <w:rsid w:val="0084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779">
      <w:bodyDiv w:val="1"/>
      <w:marLeft w:val="0"/>
      <w:marRight w:val="0"/>
      <w:marTop w:val="0"/>
      <w:marBottom w:val="0"/>
      <w:divBdr>
        <w:top w:val="none" w:sz="0" w:space="0" w:color="auto"/>
        <w:left w:val="none" w:sz="0" w:space="0" w:color="auto"/>
        <w:bottom w:val="none" w:sz="0" w:space="0" w:color="auto"/>
        <w:right w:val="none" w:sz="0" w:space="0" w:color="auto"/>
      </w:divBdr>
    </w:div>
    <w:div w:id="90860980">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03913522">
      <w:bodyDiv w:val="1"/>
      <w:marLeft w:val="0"/>
      <w:marRight w:val="0"/>
      <w:marTop w:val="0"/>
      <w:marBottom w:val="0"/>
      <w:divBdr>
        <w:top w:val="none" w:sz="0" w:space="0" w:color="auto"/>
        <w:left w:val="none" w:sz="0" w:space="0" w:color="auto"/>
        <w:bottom w:val="none" w:sz="0" w:space="0" w:color="auto"/>
        <w:right w:val="none" w:sz="0" w:space="0" w:color="auto"/>
      </w:divBdr>
    </w:div>
    <w:div w:id="235092956">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384446858">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36412205">
      <w:bodyDiv w:val="1"/>
      <w:marLeft w:val="0"/>
      <w:marRight w:val="0"/>
      <w:marTop w:val="0"/>
      <w:marBottom w:val="0"/>
      <w:divBdr>
        <w:top w:val="none" w:sz="0" w:space="0" w:color="auto"/>
        <w:left w:val="none" w:sz="0" w:space="0" w:color="auto"/>
        <w:bottom w:val="none" w:sz="0" w:space="0" w:color="auto"/>
        <w:right w:val="none" w:sz="0" w:space="0" w:color="auto"/>
      </w:divBdr>
    </w:div>
    <w:div w:id="468940914">
      <w:bodyDiv w:val="1"/>
      <w:marLeft w:val="0"/>
      <w:marRight w:val="0"/>
      <w:marTop w:val="0"/>
      <w:marBottom w:val="0"/>
      <w:divBdr>
        <w:top w:val="none" w:sz="0" w:space="0" w:color="auto"/>
        <w:left w:val="none" w:sz="0" w:space="0" w:color="auto"/>
        <w:bottom w:val="none" w:sz="0" w:space="0" w:color="auto"/>
        <w:right w:val="none" w:sz="0" w:space="0" w:color="auto"/>
      </w:divBdr>
    </w:div>
    <w:div w:id="528836918">
      <w:bodyDiv w:val="1"/>
      <w:marLeft w:val="0"/>
      <w:marRight w:val="0"/>
      <w:marTop w:val="0"/>
      <w:marBottom w:val="0"/>
      <w:divBdr>
        <w:top w:val="none" w:sz="0" w:space="0" w:color="auto"/>
        <w:left w:val="none" w:sz="0" w:space="0" w:color="auto"/>
        <w:bottom w:val="none" w:sz="0" w:space="0" w:color="auto"/>
        <w:right w:val="none" w:sz="0" w:space="0" w:color="auto"/>
      </w:divBdr>
    </w:div>
    <w:div w:id="549924168">
      <w:bodyDiv w:val="1"/>
      <w:marLeft w:val="0"/>
      <w:marRight w:val="0"/>
      <w:marTop w:val="0"/>
      <w:marBottom w:val="0"/>
      <w:divBdr>
        <w:top w:val="none" w:sz="0" w:space="0" w:color="auto"/>
        <w:left w:val="none" w:sz="0" w:space="0" w:color="auto"/>
        <w:bottom w:val="none" w:sz="0" w:space="0" w:color="auto"/>
        <w:right w:val="none" w:sz="0" w:space="0" w:color="auto"/>
      </w:divBdr>
    </w:div>
    <w:div w:id="623923237">
      <w:bodyDiv w:val="1"/>
      <w:marLeft w:val="0"/>
      <w:marRight w:val="0"/>
      <w:marTop w:val="0"/>
      <w:marBottom w:val="0"/>
      <w:divBdr>
        <w:top w:val="none" w:sz="0" w:space="0" w:color="auto"/>
        <w:left w:val="none" w:sz="0" w:space="0" w:color="auto"/>
        <w:bottom w:val="none" w:sz="0" w:space="0" w:color="auto"/>
        <w:right w:val="none" w:sz="0" w:space="0" w:color="auto"/>
      </w:divBdr>
    </w:div>
    <w:div w:id="649481053">
      <w:bodyDiv w:val="1"/>
      <w:marLeft w:val="0"/>
      <w:marRight w:val="0"/>
      <w:marTop w:val="0"/>
      <w:marBottom w:val="0"/>
      <w:divBdr>
        <w:top w:val="none" w:sz="0" w:space="0" w:color="auto"/>
        <w:left w:val="none" w:sz="0" w:space="0" w:color="auto"/>
        <w:bottom w:val="none" w:sz="0" w:space="0" w:color="auto"/>
        <w:right w:val="none" w:sz="0" w:space="0" w:color="auto"/>
      </w:divBdr>
    </w:div>
    <w:div w:id="696582780">
      <w:bodyDiv w:val="1"/>
      <w:marLeft w:val="0"/>
      <w:marRight w:val="0"/>
      <w:marTop w:val="0"/>
      <w:marBottom w:val="0"/>
      <w:divBdr>
        <w:top w:val="none" w:sz="0" w:space="0" w:color="auto"/>
        <w:left w:val="none" w:sz="0" w:space="0" w:color="auto"/>
        <w:bottom w:val="none" w:sz="0" w:space="0" w:color="auto"/>
        <w:right w:val="none" w:sz="0" w:space="0" w:color="auto"/>
      </w:divBdr>
    </w:div>
    <w:div w:id="882326588">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891380953">
      <w:bodyDiv w:val="1"/>
      <w:marLeft w:val="0"/>
      <w:marRight w:val="0"/>
      <w:marTop w:val="0"/>
      <w:marBottom w:val="0"/>
      <w:divBdr>
        <w:top w:val="none" w:sz="0" w:space="0" w:color="auto"/>
        <w:left w:val="none" w:sz="0" w:space="0" w:color="auto"/>
        <w:bottom w:val="none" w:sz="0" w:space="0" w:color="auto"/>
        <w:right w:val="none" w:sz="0" w:space="0" w:color="auto"/>
      </w:divBdr>
    </w:div>
    <w:div w:id="916525031">
      <w:bodyDiv w:val="1"/>
      <w:marLeft w:val="0"/>
      <w:marRight w:val="0"/>
      <w:marTop w:val="0"/>
      <w:marBottom w:val="0"/>
      <w:divBdr>
        <w:top w:val="none" w:sz="0" w:space="0" w:color="auto"/>
        <w:left w:val="none" w:sz="0" w:space="0" w:color="auto"/>
        <w:bottom w:val="none" w:sz="0" w:space="0" w:color="auto"/>
        <w:right w:val="none" w:sz="0" w:space="0" w:color="auto"/>
      </w:divBdr>
    </w:div>
    <w:div w:id="957688657">
      <w:bodyDiv w:val="1"/>
      <w:marLeft w:val="0"/>
      <w:marRight w:val="0"/>
      <w:marTop w:val="0"/>
      <w:marBottom w:val="0"/>
      <w:divBdr>
        <w:top w:val="none" w:sz="0" w:space="0" w:color="auto"/>
        <w:left w:val="none" w:sz="0" w:space="0" w:color="auto"/>
        <w:bottom w:val="none" w:sz="0" w:space="0" w:color="auto"/>
        <w:right w:val="none" w:sz="0" w:space="0" w:color="auto"/>
      </w:divBdr>
    </w:div>
    <w:div w:id="964775648">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75511864">
      <w:bodyDiv w:val="1"/>
      <w:marLeft w:val="0"/>
      <w:marRight w:val="0"/>
      <w:marTop w:val="0"/>
      <w:marBottom w:val="0"/>
      <w:divBdr>
        <w:top w:val="none" w:sz="0" w:space="0" w:color="auto"/>
        <w:left w:val="none" w:sz="0" w:space="0" w:color="auto"/>
        <w:bottom w:val="none" w:sz="0" w:space="0" w:color="auto"/>
        <w:right w:val="none" w:sz="0" w:space="0" w:color="auto"/>
      </w:divBdr>
    </w:div>
    <w:div w:id="1076631017">
      <w:bodyDiv w:val="1"/>
      <w:marLeft w:val="0"/>
      <w:marRight w:val="0"/>
      <w:marTop w:val="0"/>
      <w:marBottom w:val="0"/>
      <w:divBdr>
        <w:top w:val="none" w:sz="0" w:space="0" w:color="auto"/>
        <w:left w:val="none" w:sz="0" w:space="0" w:color="auto"/>
        <w:bottom w:val="none" w:sz="0" w:space="0" w:color="auto"/>
        <w:right w:val="none" w:sz="0" w:space="0" w:color="auto"/>
      </w:divBdr>
    </w:div>
    <w:div w:id="1191916071">
      <w:bodyDiv w:val="1"/>
      <w:marLeft w:val="0"/>
      <w:marRight w:val="0"/>
      <w:marTop w:val="0"/>
      <w:marBottom w:val="0"/>
      <w:divBdr>
        <w:top w:val="none" w:sz="0" w:space="0" w:color="auto"/>
        <w:left w:val="none" w:sz="0" w:space="0" w:color="auto"/>
        <w:bottom w:val="none" w:sz="0" w:space="0" w:color="auto"/>
        <w:right w:val="none" w:sz="0" w:space="0" w:color="auto"/>
      </w:divBdr>
    </w:div>
    <w:div w:id="1205630651">
      <w:bodyDiv w:val="1"/>
      <w:marLeft w:val="0"/>
      <w:marRight w:val="0"/>
      <w:marTop w:val="0"/>
      <w:marBottom w:val="0"/>
      <w:divBdr>
        <w:top w:val="none" w:sz="0" w:space="0" w:color="auto"/>
        <w:left w:val="none" w:sz="0" w:space="0" w:color="auto"/>
        <w:bottom w:val="none" w:sz="0" w:space="0" w:color="auto"/>
        <w:right w:val="none" w:sz="0" w:space="0" w:color="auto"/>
      </w:divBdr>
    </w:div>
    <w:div w:id="1292250973">
      <w:bodyDiv w:val="1"/>
      <w:marLeft w:val="0"/>
      <w:marRight w:val="0"/>
      <w:marTop w:val="0"/>
      <w:marBottom w:val="0"/>
      <w:divBdr>
        <w:top w:val="none" w:sz="0" w:space="0" w:color="auto"/>
        <w:left w:val="none" w:sz="0" w:space="0" w:color="auto"/>
        <w:bottom w:val="none" w:sz="0" w:space="0" w:color="auto"/>
        <w:right w:val="none" w:sz="0" w:space="0" w:color="auto"/>
      </w:divBdr>
    </w:div>
    <w:div w:id="1303849246">
      <w:bodyDiv w:val="1"/>
      <w:marLeft w:val="0"/>
      <w:marRight w:val="0"/>
      <w:marTop w:val="0"/>
      <w:marBottom w:val="0"/>
      <w:divBdr>
        <w:top w:val="none" w:sz="0" w:space="0" w:color="auto"/>
        <w:left w:val="none" w:sz="0" w:space="0" w:color="auto"/>
        <w:bottom w:val="none" w:sz="0" w:space="0" w:color="auto"/>
        <w:right w:val="none" w:sz="0" w:space="0" w:color="auto"/>
      </w:divBdr>
    </w:div>
    <w:div w:id="1316378409">
      <w:bodyDiv w:val="1"/>
      <w:marLeft w:val="0"/>
      <w:marRight w:val="0"/>
      <w:marTop w:val="0"/>
      <w:marBottom w:val="0"/>
      <w:divBdr>
        <w:top w:val="none" w:sz="0" w:space="0" w:color="auto"/>
        <w:left w:val="none" w:sz="0" w:space="0" w:color="auto"/>
        <w:bottom w:val="none" w:sz="0" w:space="0" w:color="auto"/>
        <w:right w:val="none" w:sz="0" w:space="0" w:color="auto"/>
      </w:divBdr>
    </w:div>
    <w:div w:id="1349091164">
      <w:bodyDiv w:val="1"/>
      <w:marLeft w:val="0"/>
      <w:marRight w:val="0"/>
      <w:marTop w:val="0"/>
      <w:marBottom w:val="0"/>
      <w:divBdr>
        <w:top w:val="none" w:sz="0" w:space="0" w:color="auto"/>
        <w:left w:val="none" w:sz="0" w:space="0" w:color="auto"/>
        <w:bottom w:val="none" w:sz="0" w:space="0" w:color="auto"/>
        <w:right w:val="none" w:sz="0" w:space="0" w:color="auto"/>
      </w:divBdr>
    </w:div>
    <w:div w:id="1371225755">
      <w:bodyDiv w:val="1"/>
      <w:marLeft w:val="0"/>
      <w:marRight w:val="0"/>
      <w:marTop w:val="0"/>
      <w:marBottom w:val="0"/>
      <w:divBdr>
        <w:top w:val="none" w:sz="0" w:space="0" w:color="auto"/>
        <w:left w:val="none" w:sz="0" w:space="0" w:color="auto"/>
        <w:bottom w:val="none" w:sz="0" w:space="0" w:color="auto"/>
        <w:right w:val="none" w:sz="0" w:space="0" w:color="auto"/>
      </w:divBdr>
    </w:div>
    <w:div w:id="1371494155">
      <w:bodyDiv w:val="1"/>
      <w:marLeft w:val="0"/>
      <w:marRight w:val="0"/>
      <w:marTop w:val="0"/>
      <w:marBottom w:val="0"/>
      <w:divBdr>
        <w:top w:val="none" w:sz="0" w:space="0" w:color="auto"/>
        <w:left w:val="none" w:sz="0" w:space="0" w:color="auto"/>
        <w:bottom w:val="none" w:sz="0" w:space="0" w:color="auto"/>
        <w:right w:val="none" w:sz="0" w:space="0" w:color="auto"/>
      </w:divBdr>
    </w:div>
    <w:div w:id="1423646501">
      <w:bodyDiv w:val="1"/>
      <w:marLeft w:val="0"/>
      <w:marRight w:val="0"/>
      <w:marTop w:val="0"/>
      <w:marBottom w:val="0"/>
      <w:divBdr>
        <w:top w:val="none" w:sz="0" w:space="0" w:color="auto"/>
        <w:left w:val="none" w:sz="0" w:space="0" w:color="auto"/>
        <w:bottom w:val="none" w:sz="0" w:space="0" w:color="auto"/>
        <w:right w:val="none" w:sz="0" w:space="0" w:color="auto"/>
      </w:divBdr>
    </w:div>
    <w:div w:id="1452477629">
      <w:bodyDiv w:val="1"/>
      <w:marLeft w:val="0"/>
      <w:marRight w:val="0"/>
      <w:marTop w:val="0"/>
      <w:marBottom w:val="0"/>
      <w:divBdr>
        <w:top w:val="none" w:sz="0" w:space="0" w:color="auto"/>
        <w:left w:val="none" w:sz="0" w:space="0" w:color="auto"/>
        <w:bottom w:val="none" w:sz="0" w:space="0" w:color="auto"/>
        <w:right w:val="none" w:sz="0" w:space="0" w:color="auto"/>
      </w:divBdr>
    </w:div>
    <w:div w:id="1474955164">
      <w:bodyDiv w:val="1"/>
      <w:marLeft w:val="0"/>
      <w:marRight w:val="0"/>
      <w:marTop w:val="0"/>
      <w:marBottom w:val="0"/>
      <w:divBdr>
        <w:top w:val="none" w:sz="0" w:space="0" w:color="auto"/>
        <w:left w:val="none" w:sz="0" w:space="0" w:color="auto"/>
        <w:bottom w:val="none" w:sz="0" w:space="0" w:color="auto"/>
        <w:right w:val="none" w:sz="0" w:space="0" w:color="auto"/>
      </w:divBdr>
    </w:div>
    <w:div w:id="1481266919">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33222476">
      <w:bodyDiv w:val="1"/>
      <w:marLeft w:val="0"/>
      <w:marRight w:val="0"/>
      <w:marTop w:val="0"/>
      <w:marBottom w:val="0"/>
      <w:divBdr>
        <w:top w:val="none" w:sz="0" w:space="0" w:color="auto"/>
        <w:left w:val="none" w:sz="0" w:space="0" w:color="auto"/>
        <w:bottom w:val="none" w:sz="0" w:space="0" w:color="auto"/>
        <w:right w:val="none" w:sz="0" w:space="0" w:color="auto"/>
      </w:divBdr>
    </w:div>
    <w:div w:id="1562402631">
      <w:bodyDiv w:val="1"/>
      <w:marLeft w:val="0"/>
      <w:marRight w:val="0"/>
      <w:marTop w:val="0"/>
      <w:marBottom w:val="0"/>
      <w:divBdr>
        <w:top w:val="none" w:sz="0" w:space="0" w:color="auto"/>
        <w:left w:val="none" w:sz="0" w:space="0" w:color="auto"/>
        <w:bottom w:val="none" w:sz="0" w:space="0" w:color="auto"/>
        <w:right w:val="none" w:sz="0" w:space="0" w:color="auto"/>
      </w:divBdr>
    </w:div>
    <w:div w:id="1625889568">
      <w:bodyDiv w:val="1"/>
      <w:marLeft w:val="0"/>
      <w:marRight w:val="0"/>
      <w:marTop w:val="0"/>
      <w:marBottom w:val="0"/>
      <w:divBdr>
        <w:top w:val="none" w:sz="0" w:space="0" w:color="auto"/>
        <w:left w:val="none" w:sz="0" w:space="0" w:color="auto"/>
        <w:bottom w:val="none" w:sz="0" w:space="0" w:color="auto"/>
        <w:right w:val="none" w:sz="0" w:space="0" w:color="auto"/>
      </w:divBdr>
    </w:div>
    <w:div w:id="1703051111">
      <w:bodyDiv w:val="1"/>
      <w:marLeft w:val="0"/>
      <w:marRight w:val="0"/>
      <w:marTop w:val="0"/>
      <w:marBottom w:val="0"/>
      <w:divBdr>
        <w:top w:val="none" w:sz="0" w:space="0" w:color="auto"/>
        <w:left w:val="none" w:sz="0" w:space="0" w:color="auto"/>
        <w:bottom w:val="none" w:sz="0" w:space="0" w:color="auto"/>
        <w:right w:val="none" w:sz="0" w:space="0" w:color="auto"/>
      </w:divBdr>
    </w:div>
    <w:div w:id="1740053027">
      <w:bodyDiv w:val="1"/>
      <w:marLeft w:val="0"/>
      <w:marRight w:val="0"/>
      <w:marTop w:val="0"/>
      <w:marBottom w:val="0"/>
      <w:divBdr>
        <w:top w:val="none" w:sz="0" w:space="0" w:color="auto"/>
        <w:left w:val="none" w:sz="0" w:space="0" w:color="auto"/>
        <w:bottom w:val="none" w:sz="0" w:space="0" w:color="auto"/>
        <w:right w:val="none" w:sz="0" w:space="0" w:color="auto"/>
      </w:divBdr>
    </w:div>
    <w:div w:id="1740666611">
      <w:bodyDiv w:val="1"/>
      <w:marLeft w:val="0"/>
      <w:marRight w:val="0"/>
      <w:marTop w:val="0"/>
      <w:marBottom w:val="0"/>
      <w:divBdr>
        <w:top w:val="none" w:sz="0" w:space="0" w:color="auto"/>
        <w:left w:val="none" w:sz="0" w:space="0" w:color="auto"/>
        <w:bottom w:val="none" w:sz="0" w:space="0" w:color="auto"/>
        <w:right w:val="none" w:sz="0" w:space="0" w:color="auto"/>
      </w:divBdr>
    </w:div>
    <w:div w:id="1748847770">
      <w:bodyDiv w:val="1"/>
      <w:marLeft w:val="0"/>
      <w:marRight w:val="0"/>
      <w:marTop w:val="0"/>
      <w:marBottom w:val="0"/>
      <w:divBdr>
        <w:top w:val="none" w:sz="0" w:space="0" w:color="auto"/>
        <w:left w:val="none" w:sz="0" w:space="0" w:color="auto"/>
        <w:bottom w:val="none" w:sz="0" w:space="0" w:color="auto"/>
        <w:right w:val="none" w:sz="0" w:space="0" w:color="auto"/>
      </w:divBdr>
    </w:div>
    <w:div w:id="1783306831">
      <w:bodyDiv w:val="1"/>
      <w:marLeft w:val="0"/>
      <w:marRight w:val="0"/>
      <w:marTop w:val="0"/>
      <w:marBottom w:val="0"/>
      <w:divBdr>
        <w:top w:val="none" w:sz="0" w:space="0" w:color="auto"/>
        <w:left w:val="none" w:sz="0" w:space="0" w:color="auto"/>
        <w:bottom w:val="none" w:sz="0" w:space="0" w:color="auto"/>
        <w:right w:val="none" w:sz="0" w:space="0" w:color="auto"/>
      </w:divBdr>
    </w:div>
    <w:div w:id="1810439215">
      <w:bodyDiv w:val="1"/>
      <w:marLeft w:val="0"/>
      <w:marRight w:val="0"/>
      <w:marTop w:val="0"/>
      <w:marBottom w:val="0"/>
      <w:divBdr>
        <w:top w:val="none" w:sz="0" w:space="0" w:color="auto"/>
        <w:left w:val="none" w:sz="0" w:space="0" w:color="auto"/>
        <w:bottom w:val="none" w:sz="0" w:space="0" w:color="auto"/>
        <w:right w:val="none" w:sz="0" w:space="0" w:color="auto"/>
      </w:divBdr>
    </w:div>
    <w:div w:id="1852062385">
      <w:bodyDiv w:val="1"/>
      <w:marLeft w:val="0"/>
      <w:marRight w:val="0"/>
      <w:marTop w:val="0"/>
      <w:marBottom w:val="0"/>
      <w:divBdr>
        <w:top w:val="none" w:sz="0" w:space="0" w:color="auto"/>
        <w:left w:val="none" w:sz="0" w:space="0" w:color="auto"/>
        <w:bottom w:val="none" w:sz="0" w:space="0" w:color="auto"/>
        <w:right w:val="none" w:sz="0" w:space="0" w:color="auto"/>
      </w:divBdr>
    </w:div>
    <w:div w:id="1852526495">
      <w:bodyDiv w:val="1"/>
      <w:marLeft w:val="0"/>
      <w:marRight w:val="0"/>
      <w:marTop w:val="0"/>
      <w:marBottom w:val="0"/>
      <w:divBdr>
        <w:top w:val="none" w:sz="0" w:space="0" w:color="auto"/>
        <w:left w:val="none" w:sz="0" w:space="0" w:color="auto"/>
        <w:bottom w:val="none" w:sz="0" w:space="0" w:color="auto"/>
        <w:right w:val="none" w:sz="0" w:space="0" w:color="auto"/>
      </w:divBdr>
    </w:div>
    <w:div w:id="1855879135">
      <w:bodyDiv w:val="1"/>
      <w:marLeft w:val="0"/>
      <w:marRight w:val="0"/>
      <w:marTop w:val="0"/>
      <w:marBottom w:val="0"/>
      <w:divBdr>
        <w:top w:val="none" w:sz="0" w:space="0" w:color="auto"/>
        <w:left w:val="none" w:sz="0" w:space="0" w:color="auto"/>
        <w:bottom w:val="none" w:sz="0" w:space="0" w:color="auto"/>
        <w:right w:val="none" w:sz="0" w:space="0" w:color="auto"/>
      </w:divBdr>
    </w:div>
    <w:div w:id="1907377398">
      <w:bodyDiv w:val="1"/>
      <w:marLeft w:val="0"/>
      <w:marRight w:val="0"/>
      <w:marTop w:val="0"/>
      <w:marBottom w:val="0"/>
      <w:divBdr>
        <w:top w:val="none" w:sz="0" w:space="0" w:color="auto"/>
        <w:left w:val="none" w:sz="0" w:space="0" w:color="auto"/>
        <w:bottom w:val="none" w:sz="0" w:space="0" w:color="auto"/>
        <w:right w:val="none" w:sz="0" w:space="0" w:color="auto"/>
      </w:divBdr>
    </w:div>
    <w:div w:id="1922131426">
      <w:bodyDiv w:val="1"/>
      <w:marLeft w:val="0"/>
      <w:marRight w:val="0"/>
      <w:marTop w:val="0"/>
      <w:marBottom w:val="0"/>
      <w:divBdr>
        <w:top w:val="none" w:sz="0" w:space="0" w:color="auto"/>
        <w:left w:val="none" w:sz="0" w:space="0" w:color="auto"/>
        <w:bottom w:val="none" w:sz="0" w:space="0" w:color="auto"/>
        <w:right w:val="none" w:sz="0" w:space="0" w:color="auto"/>
      </w:divBdr>
      <w:divsChild>
        <w:div w:id="838159792">
          <w:marLeft w:val="0"/>
          <w:marRight w:val="0"/>
          <w:marTop w:val="75"/>
          <w:marBottom w:val="75"/>
          <w:divBdr>
            <w:top w:val="none" w:sz="0" w:space="0" w:color="auto"/>
            <w:left w:val="none" w:sz="0" w:space="0" w:color="auto"/>
            <w:bottom w:val="none" w:sz="0" w:space="0" w:color="auto"/>
            <w:right w:val="none" w:sz="0" w:space="0" w:color="auto"/>
          </w:divBdr>
          <w:divsChild>
            <w:div w:id="1403480473">
              <w:marLeft w:val="0"/>
              <w:marRight w:val="0"/>
              <w:marTop w:val="372"/>
              <w:marBottom w:val="0"/>
              <w:divBdr>
                <w:top w:val="none" w:sz="0" w:space="0" w:color="auto"/>
                <w:left w:val="none" w:sz="0" w:space="0" w:color="auto"/>
                <w:bottom w:val="none" w:sz="0" w:space="0" w:color="auto"/>
                <w:right w:val="none" w:sz="0" w:space="0" w:color="auto"/>
              </w:divBdr>
              <w:divsChild>
                <w:div w:id="947279663">
                  <w:marLeft w:val="0"/>
                  <w:marRight w:val="0"/>
                  <w:marTop w:val="0"/>
                  <w:marBottom w:val="0"/>
                  <w:divBdr>
                    <w:top w:val="none" w:sz="0" w:space="0" w:color="auto"/>
                    <w:left w:val="none" w:sz="0" w:space="0" w:color="auto"/>
                    <w:bottom w:val="none" w:sz="0" w:space="0" w:color="auto"/>
                    <w:right w:val="none" w:sz="0" w:space="0" w:color="auto"/>
                  </w:divBdr>
                  <w:divsChild>
                    <w:div w:id="1095511942">
                      <w:marLeft w:val="0"/>
                      <w:marRight w:val="0"/>
                      <w:marTop w:val="120"/>
                      <w:marBottom w:val="0"/>
                      <w:divBdr>
                        <w:top w:val="single" w:sz="6" w:space="6" w:color="9D9C9C"/>
                        <w:left w:val="single" w:sz="6" w:space="6" w:color="9D9C9C"/>
                        <w:bottom w:val="single" w:sz="6" w:space="6" w:color="9D9C9C"/>
                        <w:right w:val="single" w:sz="6" w:space="6" w:color="9D9C9C"/>
                      </w:divBdr>
                      <w:divsChild>
                        <w:div w:id="1062409576">
                          <w:marLeft w:val="0"/>
                          <w:marRight w:val="0"/>
                          <w:marTop w:val="0"/>
                          <w:marBottom w:val="0"/>
                          <w:divBdr>
                            <w:top w:val="none" w:sz="0" w:space="0" w:color="auto"/>
                            <w:left w:val="none" w:sz="0" w:space="0" w:color="auto"/>
                            <w:bottom w:val="none" w:sz="0" w:space="0" w:color="auto"/>
                            <w:right w:val="none" w:sz="0" w:space="0" w:color="auto"/>
                          </w:divBdr>
                          <w:divsChild>
                            <w:div w:id="597368962">
                              <w:marLeft w:val="0"/>
                              <w:marRight w:val="0"/>
                              <w:marTop w:val="240"/>
                              <w:marBottom w:val="0"/>
                              <w:divBdr>
                                <w:top w:val="none" w:sz="0" w:space="0" w:color="auto"/>
                                <w:left w:val="none" w:sz="0" w:space="0" w:color="auto"/>
                                <w:bottom w:val="none" w:sz="0" w:space="0" w:color="auto"/>
                                <w:right w:val="none" w:sz="0" w:space="0" w:color="auto"/>
                              </w:divBdr>
                              <w:divsChild>
                                <w:div w:id="640813471">
                                  <w:marLeft w:val="0"/>
                                  <w:marRight w:val="0"/>
                                  <w:marTop w:val="0"/>
                                  <w:marBottom w:val="0"/>
                                  <w:divBdr>
                                    <w:top w:val="none" w:sz="0" w:space="0" w:color="auto"/>
                                    <w:left w:val="none" w:sz="0" w:space="0" w:color="auto"/>
                                    <w:bottom w:val="none" w:sz="0" w:space="0" w:color="auto"/>
                                    <w:right w:val="none" w:sz="0" w:space="0" w:color="auto"/>
                                  </w:divBdr>
                                  <w:divsChild>
                                    <w:div w:id="8485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41891">
      <w:bodyDiv w:val="1"/>
      <w:marLeft w:val="0"/>
      <w:marRight w:val="0"/>
      <w:marTop w:val="0"/>
      <w:marBottom w:val="0"/>
      <w:divBdr>
        <w:top w:val="none" w:sz="0" w:space="0" w:color="auto"/>
        <w:left w:val="none" w:sz="0" w:space="0" w:color="auto"/>
        <w:bottom w:val="none" w:sz="0" w:space="0" w:color="auto"/>
        <w:right w:val="none" w:sz="0" w:space="0" w:color="auto"/>
      </w:divBdr>
    </w:div>
    <w:div w:id="21013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BC6C-6B40-4DC3-861D-B9CA4F93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10814</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Ruth, WKÖ BSBV</dc:creator>
  <cp:keywords/>
  <cp:lastModifiedBy>Horvath Philipp, LL.M., WKÖ BSBV</cp:lastModifiedBy>
  <cp:revision>11</cp:revision>
  <cp:lastPrinted>2017-01-17T10:07:00Z</cp:lastPrinted>
  <dcterms:created xsi:type="dcterms:W3CDTF">2018-05-07T11:59:00Z</dcterms:created>
  <dcterms:modified xsi:type="dcterms:W3CDTF">2018-05-08T12:18:00Z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