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30D" w:rsidRDefault="0011130D">
      <w:pPr>
        <w:spacing w:before="79"/>
        <w:ind w:left="1555" w:right="1545"/>
        <w:jc w:val="center"/>
        <w:rPr>
          <w:b/>
          <w:lang w:val="de-DE"/>
        </w:rPr>
      </w:pPr>
    </w:p>
    <w:p w:rsidR="00EA7E13" w:rsidRPr="007E319F" w:rsidRDefault="007E2414">
      <w:pPr>
        <w:spacing w:before="79"/>
        <w:ind w:left="1555" w:right="1545"/>
        <w:jc w:val="center"/>
        <w:rPr>
          <w:b/>
        </w:rPr>
      </w:pPr>
      <w:r>
        <w:rPr>
          <w:b/>
        </w:rPr>
        <w:t>DECLARATION</w:t>
      </w:r>
    </w:p>
    <w:p w:rsidR="00EA7E13" w:rsidRPr="007E319F" w:rsidRDefault="007E2414" w:rsidP="00AD667A">
      <w:pPr>
        <w:spacing w:before="126"/>
        <w:ind w:left="709" w:right="734"/>
        <w:jc w:val="center"/>
        <w:rPr>
          <w:b/>
        </w:rPr>
      </w:pPr>
      <w:proofErr w:type="gramStart"/>
      <w:r>
        <w:rPr>
          <w:b/>
        </w:rPr>
        <w:t>with</w:t>
      </w:r>
      <w:proofErr w:type="gramEnd"/>
      <w:r>
        <w:rPr>
          <w:b/>
        </w:rPr>
        <w:t xml:space="preserve"> regard to the conditions stipulated in </w:t>
      </w:r>
      <w:r w:rsidR="007E319F">
        <w:rPr>
          <w:b/>
        </w:rPr>
        <w:t>Art. 42 paras. </w:t>
      </w:r>
      <w:proofErr w:type="gramStart"/>
      <w:r w:rsidR="007E319F">
        <w:rPr>
          <w:b/>
        </w:rPr>
        <w:t>1</w:t>
      </w:r>
      <w:proofErr w:type="gramEnd"/>
      <w:r w:rsidR="007E319F">
        <w:rPr>
          <w:b/>
        </w:rPr>
        <w:t xml:space="preserve"> and 2 in conjunction with Art. 5 para. 1 nos. 6 and 7 BWG</w:t>
      </w:r>
    </w:p>
    <w:p w:rsidR="00EA7E13" w:rsidRPr="007E319F" w:rsidRDefault="00EA7E13">
      <w:pPr>
        <w:pStyle w:val="Textkrper"/>
        <w:rPr>
          <w:b/>
          <w:i w:val="0"/>
          <w:sz w:val="22"/>
          <w:lang w:val="de-DE"/>
        </w:rPr>
      </w:pPr>
    </w:p>
    <w:p w:rsidR="00EA7E13" w:rsidRPr="007E319F" w:rsidRDefault="007E2414">
      <w:pPr>
        <w:spacing w:before="128" w:line="360" w:lineRule="auto"/>
        <w:ind w:left="796" w:right="753"/>
        <w:jc w:val="both"/>
      </w:pPr>
      <w:r>
        <w:t xml:space="preserve">I, </w:t>
      </w:r>
      <w:sdt>
        <w:sdtPr>
          <w:rPr>
            <w:b/>
          </w:rPr>
          <w:id w:val="1787775970"/>
          <w:placeholder>
            <w:docPart w:val="DefaultPlaceholder_-1854013438"/>
          </w:placeholder>
          <w:date>
            <w:dateFormat w:val="dd.MM.yyyy"/>
            <w:lid w:val="de-DE"/>
            <w:storeMappedDataAs w:val="dateTime"/>
            <w:calendar w:val="gregorian"/>
          </w:date>
        </w:sdtPr>
        <w:sdtContent>
          <w:r w:rsidRPr="00EE0A0F">
            <w:rPr>
              <w:b/>
            </w:rPr>
            <w:t>[Name]</w:t>
          </w:r>
        </w:sdtContent>
      </w:sdt>
      <w:r>
        <w:t xml:space="preserve">, born on </w:t>
      </w:r>
      <w:sdt>
        <w:sdtPr>
          <w:rPr>
            <w:b/>
          </w:rPr>
          <w:id w:val="1161892080"/>
          <w:placeholder>
            <w:docPart w:val="DefaultPlaceholder_-1854013438"/>
          </w:placeholder>
          <w:date>
            <w:dateFormat w:val="dd.MM.yyyy"/>
            <w:lid w:val="de-DE"/>
            <w:storeMappedDataAs w:val="dateTime"/>
            <w:calendar w:val="gregorian"/>
          </w:date>
        </w:sdtPr>
        <w:sdtContent>
          <w:r w:rsidRPr="00EE0A0F">
            <w:rPr>
              <w:b/>
            </w:rPr>
            <w:t>[Date of Birth]</w:t>
          </w:r>
        </w:sdtContent>
      </w:sdt>
      <w:r>
        <w:t>, hereby declare under oath, that no reasons for exclusion exist as defined in Article 13 paras. </w:t>
      </w:r>
      <w:proofErr w:type="gramStart"/>
      <w:r>
        <w:t>1 to 3 and 5 to 6 of the Trade Code 1994 (</w:t>
      </w:r>
      <w:proofErr w:type="spellStart"/>
      <w:r>
        <w:t>GewO</w:t>
      </w:r>
      <w:proofErr w:type="spellEnd"/>
      <w:r>
        <w:t xml:space="preserve"> 1994; </w:t>
      </w:r>
      <w:proofErr w:type="spellStart"/>
      <w:r>
        <w:t>Gewerbeordnung</w:t>
      </w:r>
      <w:proofErr w:type="spellEnd"/>
      <w:r>
        <w:t>), as published in the Federal Law Gazette No 194/1994 (as amended), either against my assets or the assets of another legal entity other than a natural person, upon whose business I have or have had a decisive influence, or bankruptcy proceedings initiated, or that any restructuring plan concluded during the restructuring proceedings has not been met, and that no other offences comparable with the aforementioned reasons have been committed abroad.</w:t>
      </w:r>
      <w:proofErr w:type="gramEnd"/>
    </w:p>
    <w:p w:rsidR="00EA7E13" w:rsidRPr="007E319F" w:rsidRDefault="00EA7E13">
      <w:pPr>
        <w:pStyle w:val="Textkrper"/>
        <w:rPr>
          <w:i w:val="0"/>
          <w:sz w:val="22"/>
          <w:lang w:val="de-DE"/>
        </w:rPr>
      </w:pPr>
    </w:p>
    <w:p w:rsidR="00EA7E13" w:rsidRPr="007E319F" w:rsidRDefault="007E2414">
      <w:pPr>
        <w:spacing w:before="129"/>
        <w:ind w:left="796"/>
        <w:jc w:val="both"/>
      </w:pPr>
      <w:r>
        <w:t xml:space="preserve">The current version of Article 13 paras. 1 to 3, 5 and 6 </w:t>
      </w:r>
      <w:proofErr w:type="spellStart"/>
      <w:r>
        <w:t>GewO</w:t>
      </w:r>
      <w:proofErr w:type="spellEnd"/>
      <w:r>
        <w:t> 1994, as amended, read:</w:t>
      </w:r>
    </w:p>
    <w:p w:rsidR="00EA7E13" w:rsidRPr="007E319F" w:rsidRDefault="00EA7E13">
      <w:pPr>
        <w:pStyle w:val="Textkrper"/>
        <w:spacing w:before="10"/>
        <w:rPr>
          <w:i w:val="0"/>
          <w:sz w:val="21"/>
          <w:lang w:val="de-DE"/>
        </w:rPr>
      </w:pPr>
    </w:p>
    <w:p w:rsidR="0073521B" w:rsidRPr="00244BB3" w:rsidRDefault="0073521B" w:rsidP="0073521B">
      <w:pPr>
        <w:pStyle w:val="Textkrper"/>
        <w:spacing w:line="360" w:lineRule="auto"/>
        <w:ind w:left="796" w:right="764"/>
        <w:jc w:val="both"/>
      </w:pPr>
      <w:r>
        <w:t>Article 13. (1) Natural persons shall be excluded from exercising a trade, if they:</w:t>
      </w:r>
    </w:p>
    <w:p w:rsidR="0073521B" w:rsidRPr="00244BB3" w:rsidRDefault="0073521B" w:rsidP="0073521B">
      <w:pPr>
        <w:pStyle w:val="Textkrper"/>
        <w:numPr>
          <w:ilvl w:val="0"/>
          <w:numId w:val="5"/>
        </w:numPr>
        <w:spacing w:line="360" w:lineRule="auto"/>
        <w:ind w:right="764"/>
        <w:jc w:val="both"/>
      </w:pPr>
      <w:r>
        <w:t>have been convicted by a court</w:t>
      </w:r>
    </w:p>
    <w:p w:rsidR="0073521B" w:rsidRPr="00244BB3" w:rsidRDefault="0073521B" w:rsidP="0073521B">
      <w:pPr>
        <w:pStyle w:val="Textkrper"/>
        <w:numPr>
          <w:ilvl w:val="0"/>
          <w:numId w:val="6"/>
        </w:numPr>
        <w:spacing w:line="360" w:lineRule="auto"/>
        <w:ind w:right="764"/>
        <w:jc w:val="both"/>
      </w:pPr>
      <w:r>
        <w:t xml:space="preserve">for fraudulent withholding of social insurance contributions and additional contributions in accordance with the Act on Construction Workers' Annual Leave and Severance Pay (BUAG; </w:t>
      </w:r>
      <w:proofErr w:type="spellStart"/>
      <w:r>
        <w:t>Bauarbeiter-Urlaubs</w:t>
      </w:r>
      <w:proofErr w:type="spellEnd"/>
      <w:r>
        <w:t xml:space="preserve">- und </w:t>
      </w:r>
      <w:proofErr w:type="spellStart"/>
      <w:r>
        <w:t>Abfertigungsgesetz</w:t>
      </w:r>
      <w:proofErr w:type="spellEnd"/>
      <w:r>
        <w:t>) (Article 153d of the Austrian Criminal Code (</w:t>
      </w:r>
      <w:proofErr w:type="spellStart"/>
      <w:r>
        <w:t>Strafgesetzbuch</w:t>
      </w:r>
      <w:proofErr w:type="spellEnd"/>
      <w:r>
        <w:t xml:space="preserve"> - </w:t>
      </w:r>
      <w:proofErr w:type="spellStart"/>
      <w:r>
        <w:t>StGB</w:t>
      </w:r>
      <w:proofErr w:type="spellEnd"/>
      <w:r>
        <w:t xml:space="preserve">)), organised undeclared work (Article 153e </w:t>
      </w:r>
      <w:proofErr w:type="spellStart"/>
      <w:r>
        <w:t>StGB</w:t>
      </w:r>
      <w:proofErr w:type="spellEnd"/>
      <w:r>
        <w:t xml:space="preserve">), fraudulent bankruptcy, harming of third-party creditors, preferential treatment of a creditor or grossly negligent interference in the interests of creditors (Articles 156 to 159 </w:t>
      </w:r>
      <w:proofErr w:type="spellStart"/>
      <w:r>
        <w:t>StGB</w:t>
      </w:r>
      <w:proofErr w:type="spellEnd"/>
      <w:r>
        <w:t>), or</w:t>
      </w:r>
    </w:p>
    <w:p w:rsidR="0073521B" w:rsidRPr="00244BB3" w:rsidRDefault="0073521B" w:rsidP="0073521B">
      <w:pPr>
        <w:pStyle w:val="Textkrper"/>
        <w:numPr>
          <w:ilvl w:val="0"/>
          <w:numId w:val="6"/>
        </w:numPr>
        <w:spacing w:line="360" w:lineRule="auto"/>
        <w:ind w:right="764"/>
        <w:jc w:val="both"/>
      </w:pPr>
      <w:r>
        <w:t>of any other criminal offence resulting in a prison sentence of in excess of three months or a fine of more than 180 times the daily rate and</w:t>
      </w:r>
    </w:p>
    <w:p w:rsidR="0073521B" w:rsidRPr="00244BB3" w:rsidRDefault="0073521B" w:rsidP="0073521B">
      <w:pPr>
        <w:pStyle w:val="Textkrper"/>
        <w:numPr>
          <w:ilvl w:val="0"/>
          <w:numId w:val="5"/>
        </w:numPr>
        <w:spacing w:line="360" w:lineRule="auto"/>
        <w:ind w:right="764"/>
        <w:jc w:val="both"/>
      </w:pPr>
      <w:proofErr w:type="gramStart"/>
      <w:r>
        <w:t>the</w:t>
      </w:r>
      <w:proofErr w:type="gramEnd"/>
      <w:r>
        <w:t xml:space="preserve"> conviction has not been expunged.</w:t>
      </w:r>
    </w:p>
    <w:p w:rsidR="00E329A3" w:rsidRDefault="0073521B" w:rsidP="0073521B">
      <w:pPr>
        <w:pStyle w:val="Textkrper"/>
        <w:spacing w:line="360" w:lineRule="auto"/>
        <w:ind w:left="1156" w:right="764"/>
        <w:jc w:val="both"/>
      </w:pPr>
      <w:r>
        <w:t xml:space="preserve">Natural persons are excluded from exercising a trade in the hospitality industry, if they have legal convictions that have not been expunged for violations of Articles 28 to 31a of the Addictive Drug Act (SMG; </w:t>
      </w:r>
      <w:proofErr w:type="spellStart"/>
      <w:r>
        <w:t>Suchtmittelgesetz</w:t>
      </w:r>
      <w:proofErr w:type="spellEnd"/>
      <w:r>
        <w:t>), as published in Federal Law Gazette I No. 112/1997 as amended. In the case of fines that are not calculated based on daily rates, the alternative custodial penalty shall apply. In the event of both imprisonment and a fine having been imposed, the term of imprisonment and the term of imprisonment for failure to pay a fine shall be added together. In this instance, a month shall be deemed to consist of thirty days. The provisions of this paragraph shall also apply if a criminal offence comparable with the aforementioned reasons for exclusion has been committed abroad.</w:t>
      </w:r>
    </w:p>
    <w:p w:rsidR="00E329A3" w:rsidRDefault="00E329A3">
      <w:pPr>
        <w:rPr>
          <w:i/>
          <w:sz w:val="20"/>
          <w:szCs w:val="20"/>
        </w:rPr>
      </w:pPr>
      <w:r>
        <w:br w:type="page"/>
      </w:r>
    </w:p>
    <w:p w:rsidR="00EE0A0F" w:rsidRDefault="00EE0A0F" w:rsidP="00AD667A">
      <w:pPr>
        <w:pStyle w:val="Textkrper"/>
        <w:spacing w:line="360" w:lineRule="auto"/>
        <w:ind w:left="796" w:right="764"/>
        <w:jc w:val="both"/>
      </w:pPr>
    </w:p>
    <w:p w:rsidR="00EE0A0F" w:rsidRDefault="00EE0A0F" w:rsidP="00AD667A">
      <w:pPr>
        <w:pStyle w:val="Textkrper"/>
        <w:spacing w:line="360" w:lineRule="auto"/>
        <w:ind w:left="796" w:right="764"/>
        <w:jc w:val="both"/>
      </w:pPr>
    </w:p>
    <w:p w:rsidR="0073521B" w:rsidRPr="00AD667A" w:rsidRDefault="00EE0A0F" w:rsidP="00AD667A">
      <w:pPr>
        <w:pStyle w:val="Textkrper"/>
        <w:spacing w:line="360" w:lineRule="auto"/>
        <w:ind w:left="796" w:right="764"/>
        <w:jc w:val="both"/>
      </w:pPr>
      <w:r>
        <w:t>(</w:t>
      </w:r>
      <w:r w:rsidR="0073521B">
        <w:t xml:space="preserve">2) Anyone who has been punished by a financial criminal authority, for a financial crime related to smuggling, for evasion of import or export duties, for tax evasion pursuant to Article 37 para. 1 point a of the Financial Crime Act (FSG; </w:t>
      </w:r>
      <w:proofErr w:type="spellStart"/>
      <w:r w:rsidR="0073521B">
        <w:t>Finanzstrafgesetz</w:t>
      </w:r>
      <w:proofErr w:type="spellEnd"/>
      <w:r w:rsidR="0073521B">
        <w:t xml:space="preserve">) as published in the Federal Law Gazette No. 129/1958 as amended, for evasion on earnings from monopoly activities, of intentional interference in a state monopoly or for concealment of a monopoly pursuant to Article 46 para. 1 point a </w:t>
      </w:r>
      <w:proofErr w:type="gramStart"/>
      <w:r w:rsidR="0073521B">
        <w:t>FSG,</w:t>
      </w:r>
      <w:proofErr w:type="gramEnd"/>
      <w:r w:rsidR="0073521B">
        <w:t xml:space="preserve"> shall be excluded from exercising a trade, if they have been fined in excess of EUR 726 for such a financial crime, or if they have been sentenced to imprisonment in addition to being fined and if five years have not elapsed since the punishment. This shall also apply if criminal offences comparable with the aforementioned reasons for exclusion have been committed abroad.</w:t>
      </w:r>
    </w:p>
    <w:p w:rsidR="0073521B" w:rsidRPr="00244BB3" w:rsidRDefault="0073521B" w:rsidP="0073521B">
      <w:pPr>
        <w:pStyle w:val="Listenabsatz"/>
        <w:tabs>
          <w:tab w:val="left" w:pos="1185"/>
        </w:tabs>
        <w:spacing w:before="120" w:line="357" w:lineRule="auto"/>
        <w:ind w:right="767" w:firstLine="0"/>
        <w:rPr>
          <w:i/>
          <w:sz w:val="20"/>
        </w:rPr>
      </w:pPr>
      <w:r>
        <w:rPr>
          <w:i/>
          <w:sz w:val="20"/>
        </w:rPr>
        <w:t>(3) Legal entities shall be excluded from exercising a trade as trader</w:t>
      </w:r>
      <w:r w:rsidR="00E329A3">
        <w:rPr>
          <w:i/>
          <w:sz w:val="20"/>
        </w:rPr>
        <w:t>s (pursuant to Article 38 para. </w:t>
      </w:r>
      <w:r>
        <w:rPr>
          <w:i/>
          <w:sz w:val="20"/>
        </w:rPr>
        <w:t>2), if</w:t>
      </w:r>
    </w:p>
    <w:p w:rsidR="0073521B" w:rsidRPr="00244BB3" w:rsidRDefault="0073521B" w:rsidP="0073521B">
      <w:pPr>
        <w:pStyle w:val="Listenabsatz"/>
        <w:tabs>
          <w:tab w:val="left" w:pos="1185"/>
        </w:tabs>
        <w:spacing w:before="120" w:line="357" w:lineRule="auto"/>
        <w:ind w:left="1134" w:right="767" w:firstLine="0"/>
        <w:rPr>
          <w:i/>
          <w:sz w:val="20"/>
        </w:rPr>
      </w:pPr>
      <w:r>
        <w:rPr>
          <w:i/>
          <w:sz w:val="20"/>
        </w:rPr>
        <w:tab/>
        <w:t xml:space="preserve">1. </w:t>
      </w:r>
      <w:proofErr w:type="gramStart"/>
      <w:r>
        <w:rPr>
          <w:i/>
          <w:sz w:val="20"/>
        </w:rPr>
        <w:t>insolvency</w:t>
      </w:r>
      <w:proofErr w:type="gramEnd"/>
      <w:r>
        <w:rPr>
          <w:i/>
          <w:sz w:val="20"/>
        </w:rPr>
        <w:t xml:space="preserve"> proceedings have not been legally initiated or have been dismissed due to there being insufficient assets to cover costs, and</w:t>
      </w:r>
    </w:p>
    <w:p w:rsidR="0073521B" w:rsidRPr="00244BB3" w:rsidRDefault="0073521B" w:rsidP="0073521B">
      <w:pPr>
        <w:pStyle w:val="Listenabsatz"/>
        <w:tabs>
          <w:tab w:val="left" w:pos="1185"/>
        </w:tabs>
        <w:spacing w:before="120" w:line="357" w:lineRule="auto"/>
        <w:ind w:left="1134" w:right="767" w:firstLine="0"/>
        <w:rPr>
          <w:i/>
          <w:sz w:val="20"/>
        </w:rPr>
      </w:pPr>
      <w:r>
        <w:rPr>
          <w:i/>
          <w:sz w:val="20"/>
        </w:rPr>
        <w:tab/>
        <w:t xml:space="preserve">2. </w:t>
      </w:r>
      <w:proofErr w:type="gramStart"/>
      <w:r>
        <w:rPr>
          <w:i/>
          <w:sz w:val="20"/>
        </w:rPr>
        <w:t>the</w:t>
      </w:r>
      <w:proofErr w:type="gramEnd"/>
      <w:r>
        <w:rPr>
          <w:i/>
          <w:sz w:val="20"/>
        </w:rPr>
        <w:t xml:space="preserve"> period of time for which the cited insolvency proceedings shall remain accessible in the database for insolvency proceedings has not expired.</w:t>
      </w:r>
    </w:p>
    <w:p w:rsidR="0073521B" w:rsidRPr="00244BB3" w:rsidRDefault="0073521B" w:rsidP="0073521B">
      <w:pPr>
        <w:pStyle w:val="Listenabsatz"/>
        <w:tabs>
          <w:tab w:val="left" w:pos="1185"/>
        </w:tabs>
        <w:spacing w:before="120" w:line="357" w:lineRule="auto"/>
        <w:ind w:right="767" w:firstLine="0"/>
        <w:rPr>
          <w:i/>
          <w:sz w:val="20"/>
        </w:rPr>
      </w:pPr>
      <w:r>
        <w:rPr>
          <w:i/>
          <w:sz w:val="20"/>
        </w:rPr>
        <w:t>This shall also apply if an offence comparable with the aforementioned reasons for exclusion has been committed abroad.</w:t>
      </w:r>
    </w:p>
    <w:p w:rsidR="0073521B" w:rsidRPr="00244BB3" w:rsidRDefault="0073521B" w:rsidP="0073521B">
      <w:pPr>
        <w:pStyle w:val="Textkrper"/>
        <w:spacing w:line="360" w:lineRule="auto"/>
        <w:ind w:right="764"/>
        <w:jc w:val="both"/>
        <w:rPr>
          <w:lang w:val="de-DE"/>
        </w:rPr>
      </w:pPr>
    </w:p>
    <w:p w:rsidR="0073521B" w:rsidRPr="00244BB3" w:rsidRDefault="0073521B" w:rsidP="0073521B">
      <w:pPr>
        <w:pStyle w:val="Textkrper"/>
        <w:spacing w:line="360" w:lineRule="auto"/>
        <w:ind w:left="796" w:right="764"/>
        <w:jc w:val="both"/>
      </w:pPr>
      <w:r>
        <w:t xml:space="preserve">(5) A natural person shall be excluded from exercising the trade as a trader as a natural person, if they have been deemed to, or are deemed to hold a considerable influence upon the business operations of another legal entity, which has been excluded or is to be excluded from exercising a trade pursuant to paragraph 3 above. In the event that there is a reason for exclusion on the legal entity pursuant to paragraph 4 of this article, then the natural person shall only be excluded from exercising a trade </w:t>
      </w:r>
      <w:r w:rsidR="00E329A3">
        <w:t>that</w:t>
      </w:r>
      <w:r>
        <w:t xml:space="preserve"> includes insurance mediation activities. The last sentence of paragraph 1 shall apply accordingly.</w:t>
      </w:r>
    </w:p>
    <w:p w:rsidR="0073521B" w:rsidRPr="00244BB3" w:rsidRDefault="0073521B" w:rsidP="0073521B">
      <w:pPr>
        <w:pStyle w:val="Textkrper"/>
        <w:spacing w:line="360" w:lineRule="auto"/>
        <w:ind w:left="796" w:right="764"/>
        <w:jc w:val="both"/>
        <w:rPr>
          <w:lang w:val="de-DE"/>
        </w:rPr>
      </w:pPr>
    </w:p>
    <w:p w:rsidR="00E329A3" w:rsidRDefault="0073521B" w:rsidP="00E329A3">
      <w:pPr>
        <w:pStyle w:val="Textkrper"/>
        <w:spacing w:line="360" w:lineRule="auto"/>
        <w:ind w:left="796" w:right="764"/>
        <w:jc w:val="both"/>
      </w:pPr>
      <w:r>
        <w:t xml:space="preserve">(6) A natural person, whose licence to trade has been revoked </w:t>
      </w:r>
      <w:r w:rsidR="00E329A3">
        <w:t>due to</w:t>
      </w:r>
      <w:r>
        <w:t xml:space="preserve"> the verdict passed by a court, or whose licence to trade has been withdrawn in accordance with Article 87 para. 1 no. 3 or 4, shall be excluded from exercising a trade, if by exercising this trade the reason for revoking or withdrawing the licence to trade could be deemed to have been impeded in accordance with Article 87 para. </w:t>
      </w:r>
      <w:proofErr w:type="gramStart"/>
      <w:r>
        <w:t>1</w:t>
      </w:r>
      <w:proofErr w:type="gramEnd"/>
      <w:r>
        <w:t xml:space="preserve"> no. 3 or 4. This shall also apply for a natural person, against whom official measures have been necessary in accordance with Article 91 para. </w:t>
      </w:r>
      <w:proofErr w:type="gramStart"/>
      <w:r>
        <w:t>1</w:t>
      </w:r>
      <w:proofErr w:type="gramEnd"/>
      <w:r>
        <w:t xml:space="preserve"> or 2 as a consequence of the reasons for exclusion listed in Article 87 para. </w:t>
      </w:r>
      <w:proofErr w:type="gramStart"/>
      <w:r>
        <w:t>1</w:t>
      </w:r>
      <w:proofErr w:type="gramEnd"/>
      <w:r>
        <w:t xml:space="preserve"> no. 3 or 4 being applicable.</w:t>
      </w:r>
    </w:p>
    <w:p w:rsidR="00E329A3" w:rsidRDefault="00E329A3">
      <w:pPr>
        <w:rPr>
          <w:i/>
          <w:sz w:val="20"/>
          <w:szCs w:val="20"/>
        </w:rPr>
      </w:pPr>
      <w:r>
        <w:br w:type="page"/>
      </w:r>
    </w:p>
    <w:p w:rsidR="00EA7E13" w:rsidRPr="007E319F" w:rsidRDefault="00EA7E13" w:rsidP="00E329A3">
      <w:pPr>
        <w:pStyle w:val="Textkrper"/>
        <w:spacing w:line="360" w:lineRule="auto"/>
        <w:ind w:left="796" w:right="764"/>
        <w:jc w:val="both"/>
        <w:rPr>
          <w:lang w:val="de-DE"/>
        </w:rPr>
      </w:pPr>
    </w:p>
    <w:p w:rsidR="00EA7E13" w:rsidRPr="0073521B" w:rsidRDefault="007E2414" w:rsidP="0073521B">
      <w:pPr>
        <w:spacing w:before="1"/>
        <w:ind w:left="796" w:right="764"/>
      </w:pPr>
      <w:r>
        <w:t>Furthermore, I hereby declare under oath, that:</w:t>
      </w:r>
      <w:r>
        <w:br/>
      </w:r>
    </w:p>
    <w:p w:rsidR="00EA7E13" w:rsidRPr="007E319F" w:rsidRDefault="00EA7E13">
      <w:pPr>
        <w:pStyle w:val="Textkrper"/>
        <w:spacing w:before="2"/>
        <w:rPr>
          <w:i w:val="0"/>
          <w:sz w:val="22"/>
          <w:lang w:val="de-DE"/>
        </w:rPr>
      </w:pPr>
    </w:p>
    <w:p w:rsidR="00504546" w:rsidRDefault="00504546" w:rsidP="00C16B9A">
      <w:pPr>
        <w:pStyle w:val="Listenabsatz"/>
        <w:numPr>
          <w:ilvl w:val="1"/>
          <w:numId w:val="1"/>
        </w:numPr>
        <w:tabs>
          <w:tab w:val="left" w:pos="1560"/>
        </w:tabs>
        <w:spacing w:before="0" w:line="360" w:lineRule="auto"/>
        <w:ind w:right="755"/>
      </w:pPr>
      <w:r>
        <w:t xml:space="preserve">no circumstances exist, which that make the orderly performance of my internal auditing duties appear improbable (grounds for exclusion pursuant to Article 42 para. 2 BWG); </w:t>
      </w:r>
    </w:p>
    <w:p w:rsidR="00504546" w:rsidRDefault="00504546" w:rsidP="00504546">
      <w:pPr>
        <w:pStyle w:val="Listenabsatz"/>
        <w:tabs>
          <w:tab w:val="left" w:pos="1560"/>
        </w:tabs>
        <w:spacing w:before="0" w:line="360" w:lineRule="auto"/>
        <w:ind w:left="1559" w:right="755" w:firstLine="0"/>
        <w:jc w:val="left"/>
        <w:rPr>
          <w:lang w:val="de-DE"/>
        </w:rPr>
      </w:pPr>
    </w:p>
    <w:p w:rsidR="00EA7E13" w:rsidRPr="007E319F" w:rsidRDefault="007E2414" w:rsidP="00AD667A">
      <w:pPr>
        <w:pStyle w:val="Listenabsatz"/>
        <w:numPr>
          <w:ilvl w:val="1"/>
          <w:numId w:val="1"/>
        </w:numPr>
        <w:tabs>
          <w:tab w:val="left" w:pos="1560"/>
        </w:tabs>
        <w:spacing w:before="0" w:line="360" w:lineRule="auto"/>
        <w:ind w:right="755"/>
      </w:pPr>
      <w:r>
        <w:t xml:space="preserve">my personal finances are in order and that no circumstances exist, from which doubts arise about my necessary personal reputation, honesty and independence of mind required for the performance of the function of the Head of Internal Auditing </w:t>
      </w:r>
      <w:r w:rsidR="00C16B9A">
        <w:t>(Art. 42 Abs. 1 in conjunction with Art. 5 para. 1 nos. 6 and 7 BWG);</w:t>
      </w:r>
    </w:p>
    <w:p w:rsidR="00EA7E13" w:rsidRPr="007E319F" w:rsidRDefault="00EA7E13">
      <w:pPr>
        <w:pStyle w:val="Textkrper"/>
        <w:rPr>
          <w:i w:val="0"/>
          <w:sz w:val="22"/>
          <w:lang w:val="de-DE"/>
        </w:rPr>
      </w:pPr>
    </w:p>
    <w:p w:rsidR="00EA7E13" w:rsidRDefault="007E2414">
      <w:pPr>
        <w:pStyle w:val="Listenabsatz"/>
        <w:numPr>
          <w:ilvl w:val="1"/>
          <w:numId w:val="1"/>
        </w:numPr>
        <w:tabs>
          <w:tab w:val="left" w:pos="1534"/>
        </w:tabs>
        <w:spacing w:before="129" w:line="360" w:lineRule="auto"/>
        <w:ind w:left="1533" w:right="751" w:hanging="283"/>
      </w:pPr>
      <w:proofErr w:type="gramStart"/>
      <w:r>
        <w:t>neither financial (e.g. loans or share holdings) nor non-financial interests or relationships (e.g. close relationships as defined in Article 72 of the Austrian Criminal Code (</w:t>
      </w:r>
      <w:proofErr w:type="spellStart"/>
      <w:r>
        <w:t>StGB</w:t>
      </w:r>
      <w:proofErr w:type="spellEnd"/>
      <w:r>
        <w:t xml:space="preserve">; </w:t>
      </w:r>
      <w:proofErr w:type="spellStart"/>
      <w:r>
        <w:t>Strafgesetzbuch</w:t>
      </w:r>
      <w:proofErr w:type="spellEnd"/>
      <w:r>
        <w:t>) to members of the management body, the supervisory body or to key function holders) exist that compromise the prudent and orderly performance as Head of Internal Auditing, and which may place the necessary financial soundness, economic independence and personal repute in doubt.</w:t>
      </w:r>
      <w:proofErr w:type="gramEnd"/>
    </w:p>
    <w:p w:rsidR="00EA7E13" w:rsidRPr="007E319F" w:rsidRDefault="00EA7E13">
      <w:pPr>
        <w:pStyle w:val="Textkrper"/>
        <w:rPr>
          <w:i w:val="0"/>
          <w:sz w:val="22"/>
          <w:lang w:val="de-DE"/>
        </w:rPr>
      </w:pPr>
    </w:p>
    <w:p w:rsidR="00EA7E13" w:rsidRPr="007E319F" w:rsidRDefault="007E2414">
      <w:pPr>
        <w:spacing w:before="129" w:line="360" w:lineRule="auto"/>
        <w:ind w:left="1533" w:right="756"/>
        <w:jc w:val="both"/>
      </w:pPr>
      <w:r>
        <w:t>In the event that the declaration above cannot be submitted, specific details are required to be provided about the existing interests of a financial (e.g. loans or holdings) and of a non-financial nature or relations (e.g. to which person, what their function is within the entity and what relationship exists).</w:t>
      </w:r>
    </w:p>
    <w:p w:rsidR="00EA7E13" w:rsidRPr="00BF77C7" w:rsidRDefault="00EA7E13">
      <w:pPr>
        <w:pStyle w:val="Textkrper"/>
        <w:spacing w:before="10"/>
        <w:rPr>
          <w:i w:val="0"/>
          <w:sz w:val="21"/>
          <w:lang w:val="de-DE"/>
        </w:rPr>
      </w:pPr>
    </w:p>
    <w:p w:rsidR="00EA7E13" w:rsidRPr="007E319F" w:rsidRDefault="007E2414">
      <w:pPr>
        <w:spacing w:line="362" w:lineRule="auto"/>
        <w:ind w:left="256" w:right="764"/>
      </w:pPr>
      <w:r>
        <w:t>I hereby ensure the correctness of the information I have provided, and am aware that providing incomplete or incorrect information in this self-declaration might adversely affect my personal reputation.</w:t>
      </w:r>
    </w:p>
    <w:p w:rsidR="00EA7E13" w:rsidRPr="007E319F" w:rsidRDefault="00EA7E13">
      <w:pPr>
        <w:pStyle w:val="Textkrper"/>
        <w:rPr>
          <w:i w:val="0"/>
          <w:lang w:val="de-DE"/>
        </w:rPr>
      </w:pPr>
    </w:p>
    <w:p w:rsidR="00EA7E13" w:rsidRPr="007E319F" w:rsidRDefault="00EA7E13">
      <w:pPr>
        <w:pStyle w:val="Textkrper"/>
        <w:rPr>
          <w:i w:val="0"/>
          <w:lang w:val="de-DE"/>
        </w:rPr>
      </w:pPr>
    </w:p>
    <w:p w:rsidR="00EA7E13" w:rsidRPr="007E319F" w:rsidRDefault="00EA7E13">
      <w:pPr>
        <w:pStyle w:val="Textkrper"/>
        <w:rPr>
          <w:i w:val="0"/>
          <w:lang w:val="de-DE"/>
        </w:rPr>
      </w:pPr>
    </w:p>
    <w:sdt>
      <w:sdtPr>
        <w:rPr>
          <w:b/>
          <w:i w:val="0"/>
        </w:rPr>
        <w:id w:val="-1544207181"/>
        <w:placeholder>
          <w:docPart w:val="B23AE579B41B4BBEAE50CAE9707B0D33"/>
        </w:placeholder>
        <w:date w:fullDate="2020-09-28T00:00:00Z">
          <w:dateFormat w:val="dd.MM.yyyy"/>
          <w:lid w:val="de-DE"/>
          <w:storeMappedDataAs w:val="dateTime"/>
          <w:calendar w:val="gregorian"/>
        </w:date>
      </w:sdtPr>
      <w:sdtContent>
        <w:p w:rsidR="00EE0A0F" w:rsidRPr="001450A2" w:rsidRDefault="00EE0A0F" w:rsidP="00EE0A0F">
          <w:pPr>
            <w:pStyle w:val="Textkrper"/>
            <w:ind w:firstLine="426"/>
            <w:rPr>
              <w:b/>
              <w:i w:val="0"/>
            </w:rPr>
          </w:pPr>
          <w:r w:rsidRPr="001450A2">
            <w:rPr>
              <w:b/>
              <w:i w:val="0"/>
              <w:lang w:val="de-DE"/>
            </w:rPr>
            <w:t>28.09.2020</w:t>
          </w:r>
        </w:p>
      </w:sdtContent>
    </w:sdt>
    <w:p w:rsidR="00EA7E13" w:rsidRPr="007E319F" w:rsidRDefault="00EA7E13">
      <w:pPr>
        <w:pStyle w:val="Textkrper"/>
        <w:spacing w:before="2"/>
        <w:rPr>
          <w:i w:val="0"/>
          <w:sz w:val="19"/>
          <w:lang w:val="de-DE"/>
        </w:rPr>
      </w:pPr>
    </w:p>
    <w:tbl>
      <w:tblPr>
        <w:tblStyle w:val="TableNormal"/>
        <w:tblW w:w="9543"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Look w:val="01E0" w:firstRow="1" w:lastRow="1" w:firstColumn="1" w:lastColumn="1" w:noHBand="0" w:noVBand="0"/>
      </w:tblPr>
      <w:tblGrid>
        <w:gridCol w:w="4541"/>
        <w:gridCol w:w="313"/>
        <w:gridCol w:w="4689"/>
      </w:tblGrid>
      <w:tr w:rsidR="00EA7E13" w:rsidRPr="00573477" w:rsidTr="0012786B">
        <w:trPr>
          <w:trHeight w:hRule="exact" w:val="289"/>
        </w:trPr>
        <w:tc>
          <w:tcPr>
            <w:tcW w:w="4541" w:type="dxa"/>
            <w:tcBorders>
              <w:left w:val="nil"/>
              <w:bottom w:val="nil"/>
              <w:right w:val="nil"/>
            </w:tcBorders>
          </w:tcPr>
          <w:p w:rsidR="00EA7E13" w:rsidRPr="007E319F" w:rsidRDefault="00EA7E13">
            <w:pPr>
              <w:pStyle w:val="TableParagraph"/>
              <w:spacing w:before="9"/>
              <w:rPr>
                <w:sz w:val="9"/>
                <w:lang w:val="de-DE"/>
              </w:rPr>
            </w:pPr>
          </w:p>
          <w:p w:rsidR="00EA7E13" w:rsidRDefault="007E2414">
            <w:pPr>
              <w:pStyle w:val="TableParagraph"/>
              <w:rPr>
                <w:sz w:val="12"/>
              </w:rPr>
            </w:pPr>
            <w:r>
              <w:rPr>
                <w:sz w:val="12"/>
              </w:rPr>
              <w:t>D A T E</w:t>
            </w:r>
          </w:p>
        </w:tc>
        <w:tc>
          <w:tcPr>
            <w:tcW w:w="313" w:type="dxa"/>
            <w:tcBorders>
              <w:top w:val="nil"/>
              <w:left w:val="nil"/>
              <w:bottom w:val="nil"/>
              <w:right w:val="nil"/>
            </w:tcBorders>
          </w:tcPr>
          <w:p w:rsidR="00EA7E13" w:rsidRDefault="00EA7E13"/>
        </w:tc>
        <w:tc>
          <w:tcPr>
            <w:tcW w:w="4689" w:type="dxa"/>
            <w:tcBorders>
              <w:left w:val="nil"/>
              <w:bottom w:val="nil"/>
              <w:right w:val="nil"/>
            </w:tcBorders>
          </w:tcPr>
          <w:p w:rsidR="00EA7E13" w:rsidRPr="0011130D" w:rsidRDefault="00EA7E13">
            <w:pPr>
              <w:pStyle w:val="TableParagraph"/>
              <w:spacing w:before="9"/>
              <w:rPr>
                <w:sz w:val="9"/>
                <w:lang w:val="de-DE"/>
              </w:rPr>
            </w:pPr>
          </w:p>
          <w:p w:rsidR="00EA7E13" w:rsidRPr="007E2414" w:rsidRDefault="007E2414">
            <w:pPr>
              <w:pStyle w:val="TableParagraph"/>
              <w:ind w:left="2"/>
              <w:rPr>
                <w:sz w:val="12"/>
              </w:rPr>
            </w:pPr>
            <w:r>
              <w:rPr>
                <w:sz w:val="12"/>
              </w:rPr>
              <w:t xml:space="preserve">S I G N A T U R E   O F   T H E   H E A D   O F   I N T E R N A L   A U D I T I N G </w:t>
            </w:r>
          </w:p>
        </w:tc>
      </w:tr>
    </w:tbl>
    <w:p w:rsidR="00E93E0C" w:rsidRPr="007E2414" w:rsidRDefault="00E93E0C">
      <w:pPr>
        <w:rPr>
          <w:lang w:val="de-DE"/>
        </w:rPr>
      </w:pPr>
    </w:p>
    <w:sectPr w:rsidR="00E93E0C" w:rsidRPr="007E2414" w:rsidSect="0073521B">
      <w:headerReference w:type="default" r:id="rId7"/>
      <w:type w:val="continuous"/>
      <w:pgSz w:w="11910" w:h="16840"/>
      <w:pgMar w:top="500" w:right="66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0D" w:rsidRDefault="0011130D" w:rsidP="0011130D">
      <w:r>
        <w:separator/>
      </w:r>
    </w:p>
  </w:endnote>
  <w:endnote w:type="continuationSeparator" w:id="0">
    <w:p w:rsidR="0011130D" w:rsidRDefault="0011130D" w:rsidP="0011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0D" w:rsidRDefault="0011130D" w:rsidP="0011130D">
      <w:r>
        <w:separator/>
      </w:r>
    </w:p>
  </w:footnote>
  <w:footnote w:type="continuationSeparator" w:id="0">
    <w:p w:rsidR="0011130D" w:rsidRDefault="0011130D" w:rsidP="0011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4609"/>
    </w:tblGrid>
    <w:tr w:rsidR="00EE0A0F" w:rsidTr="009E1876">
      <w:tc>
        <w:tcPr>
          <w:tcW w:w="5481" w:type="dxa"/>
          <w:vAlign w:val="center"/>
        </w:tcPr>
        <w:p w:rsidR="00EE0A0F" w:rsidRDefault="00EE0A0F" w:rsidP="00EE0A0F">
          <w:pPr>
            <w:pStyle w:val="Kopfzeile"/>
            <w:ind w:hanging="105"/>
          </w:pPr>
          <w:r>
            <w:rPr>
              <w:noProof/>
              <w:lang w:val="de-DE" w:eastAsia="de-DE"/>
            </w:rPr>
            <w:drawing>
              <wp:inline distT="0" distB="0" distL="0" distR="0" wp14:anchorId="2F81210C" wp14:editId="07DDA53A">
                <wp:extent cx="3406140" cy="479425"/>
                <wp:effectExtent l="0" t="0" r="3810" b="0"/>
                <wp:docPr id="32" name="image1.jpeg" title="F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6140" cy="479425"/>
                        </a:xfrm>
                        <a:prstGeom prst="rect">
                          <a:avLst/>
                        </a:prstGeom>
                      </pic:spPr>
                    </pic:pic>
                  </a:graphicData>
                </a:graphic>
              </wp:inline>
            </w:drawing>
          </w:r>
        </w:p>
      </w:tc>
      <w:tc>
        <w:tcPr>
          <w:tcW w:w="4609" w:type="dxa"/>
          <w:vAlign w:val="center"/>
        </w:tcPr>
        <w:p w:rsidR="00EE0A0F" w:rsidRDefault="00EE0A0F" w:rsidP="00EE0A0F">
          <w:pPr>
            <w:pStyle w:val="Kopfzeile"/>
            <w:jc w:val="right"/>
          </w:pPr>
          <w:r>
            <w:rPr>
              <w:noProof/>
              <w:lang w:val="de-DE" w:eastAsia="de-DE"/>
            </w:rPr>
            <w:drawing>
              <wp:inline distT="0" distB="0" distL="0" distR="0" wp14:anchorId="5D1849B5" wp14:editId="07D081F8">
                <wp:extent cx="2188845" cy="760095"/>
                <wp:effectExtent l="0" t="0" r="1905" b="1905"/>
                <wp:docPr id="33" name="image2.jpeg" title="Oe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8845" cy="760095"/>
                        </a:xfrm>
                        <a:prstGeom prst="rect">
                          <a:avLst/>
                        </a:prstGeom>
                      </pic:spPr>
                    </pic:pic>
                  </a:graphicData>
                </a:graphic>
              </wp:inline>
            </w:drawing>
          </w:r>
        </w:p>
      </w:tc>
    </w:tr>
  </w:tbl>
  <w:p w:rsidR="0011130D" w:rsidRDefault="001113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35A9"/>
    <w:multiLevelType w:val="hybridMultilevel"/>
    <w:tmpl w:val="AFD2AC34"/>
    <w:lvl w:ilvl="0" w:tplc="C9AA2E12">
      <w:start w:val="1"/>
      <w:numFmt w:val="decimal"/>
      <w:lvlText w:val="%1)"/>
      <w:lvlJc w:val="left"/>
      <w:pPr>
        <w:ind w:left="1276" w:hanging="454"/>
        <w:jc w:val="left"/>
      </w:pPr>
      <w:rPr>
        <w:rFonts w:ascii="Arial" w:eastAsia="Arial" w:hAnsi="Arial" w:cs="Arial" w:hint="default"/>
        <w:i/>
        <w:spacing w:val="-1"/>
        <w:w w:val="99"/>
        <w:sz w:val="20"/>
        <w:szCs w:val="20"/>
      </w:rPr>
    </w:lvl>
    <w:lvl w:ilvl="1" w:tplc="F27E5ACE">
      <w:numFmt w:val="bullet"/>
      <w:lvlText w:val="•"/>
      <w:lvlJc w:val="left"/>
      <w:pPr>
        <w:ind w:left="2160" w:hanging="454"/>
      </w:pPr>
      <w:rPr>
        <w:rFonts w:hint="default"/>
      </w:rPr>
    </w:lvl>
    <w:lvl w:ilvl="2" w:tplc="E40E6C54">
      <w:numFmt w:val="bullet"/>
      <w:lvlText w:val="•"/>
      <w:lvlJc w:val="left"/>
      <w:pPr>
        <w:ind w:left="3041" w:hanging="454"/>
      </w:pPr>
      <w:rPr>
        <w:rFonts w:hint="default"/>
      </w:rPr>
    </w:lvl>
    <w:lvl w:ilvl="3" w:tplc="3D02E88E">
      <w:numFmt w:val="bullet"/>
      <w:lvlText w:val="•"/>
      <w:lvlJc w:val="left"/>
      <w:pPr>
        <w:ind w:left="3921" w:hanging="454"/>
      </w:pPr>
      <w:rPr>
        <w:rFonts w:hint="default"/>
      </w:rPr>
    </w:lvl>
    <w:lvl w:ilvl="4" w:tplc="49CCA1EE">
      <w:numFmt w:val="bullet"/>
      <w:lvlText w:val="•"/>
      <w:lvlJc w:val="left"/>
      <w:pPr>
        <w:ind w:left="4802" w:hanging="454"/>
      </w:pPr>
      <w:rPr>
        <w:rFonts w:hint="default"/>
      </w:rPr>
    </w:lvl>
    <w:lvl w:ilvl="5" w:tplc="A0CE6756">
      <w:numFmt w:val="bullet"/>
      <w:lvlText w:val="•"/>
      <w:lvlJc w:val="left"/>
      <w:pPr>
        <w:ind w:left="5683" w:hanging="454"/>
      </w:pPr>
      <w:rPr>
        <w:rFonts w:hint="default"/>
      </w:rPr>
    </w:lvl>
    <w:lvl w:ilvl="6" w:tplc="BAFE2426">
      <w:numFmt w:val="bullet"/>
      <w:lvlText w:val="•"/>
      <w:lvlJc w:val="left"/>
      <w:pPr>
        <w:ind w:left="6563" w:hanging="454"/>
      </w:pPr>
      <w:rPr>
        <w:rFonts w:hint="default"/>
      </w:rPr>
    </w:lvl>
    <w:lvl w:ilvl="7" w:tplc="0AF249BC">
      <w:numFmt w:val="bullet"/>
      <w:lvlText w:val="•"/>
      <w:lvlJc w:val="left"/>
      <w:pPr>
        <w:ind w:left="7444" w:hanging="454"/>
      </w:pPr>
      <w:rPr>
        <w:rFonts w:hint="default"/>
      </w:rPr>
    </w:lvl>
    <w:lvl w:ilvl="8" w:tplc="077EE552">
      <w:numFmt w:val="bullet"/>
      <w:lvlText w:val="•"/>
      <w:lvlJc w:val="left"/>
      <w:pPr>
        <w:ind w:left="8325" w:hanging="454"/>
      </w:pPr>
      <w:rPr>
        <w:rFonts w:hint="default"/>
      </w:rPr>
    </w:lvl>
  </w:abstractNum>
  <w:abstractNum w:abstractNumId="1" w15:restartNumberingAfterBreak="0">
    <w:nsid w:val="1F92683B"/>
    <w:multiLevelType w:val="hybridMultilevel"/>
    <w:tmpl w:val="F8766DE8"/>
    <w:lvl w:ilvl="0" w:tplc="B770F1BE">
      <w:start w:val="2"/>
      <w:numFmt w:val="decimal"/>
      <w:lvlText w:val="(%1)"/>
      <w:lvlJc w:val="left"/>
      <w:pPr>
        <w:ind w:left="796" w:hanging="334"/>
        <w:jc w:val="left"/>
      </w:pPr>
      <w:rPr>
        <w:rFonts w:ascii="Arial" w:eastAsia="Arial" w:hAnsi="Arial" w:cs="Arial" w:hint="default"/>
        <w:i/>
        <w:w w:val="99"/>
        <w:sz w:val="20"/>
        <w:szCs w:val="20"/>
      </w:rPr>
    </w:lvl>
    <w:lvl w:ilvl="1" w:tplc="BE3A6A24">
      <w:numFmt w:val="bullet"/>
      <w:lvlText w:val="•"/>
      <w:lvlJc w:val="left"/>
      <w:pPr>
        <w:ind w:left="1728" w:hanging="334"/>
      </w:pPr>
      <w:rPr>
        <w:rFonts w:hint="default"/>
      </w:rPr>
    </w:lvl>
    <w:lvl w:ilvl="2" w:tplc="5AB2CB12">
      <w:numFmt w:val="bullet"/>
      <w:lvlText w:val="•"/>
      <w:lvlJc w:val="left"/>
      <w:pPr>
        <w:ind w:left="2657" w:hanging="334"/>
      </w:pPr>
      <w:rPr>
        <w:rFonts w:hint="default"/>
      </w:rPr>
    </w:lvl>
    <w:lvl w:ilvl="3" w:tplc="F69443CA">
      <w:numFmt w:val="bullet"/>
      <w:lvlText w:val="•"/>
      <w:lvlJc w:val="left"/>
      <w:pPr>
        <w:ind w:left="3585" w:hanging="334"/>
      </w:pPr>
      <w:rPr>
        <w:rFonts w:hint="default"/>
      </w:rPr>
    </w:lvl>
    <w:lvl w:ilvl="4" w:tplc="27869450">
      <w:numFmt w:val="bullet"/>
      <w:lvlText w:val="•"/>
      <w:lvlJc w:val="left"/>
      <w:pPr>
        <w:ind w:left="4514" w:hanging="334"/>
      </w:pPr>
      <w:rPr>
        <w:rFonts w:hint="default"/>
      </w:rPr>
    </w:lvl>
    <w:lvl w:ilvl="5" w:tplc="41584688">
      <w:numFmt w:val="bullet"/>
      <w:lvlText w:val="•"/>
      <w:lvlJc w:val="left"/>
      <w:pPr>
        <w:ind w:left="5443" w:hanging="334"/>
      </w:pPr>
      <w:rPr>
        <w:rFonts w:hint="default"/>
      </w:rPr>
    </w:lvl>
    <w:lvl w:ilvl="6" w:tplc="53BCC396">
      <w:numFmt w:val="bullet"/>
      <w:lvlText w:val="•"/>
      <w:lvlJc w:val="left"/>
      <w:pPr>
        <w:ind w:left="6371" w:hanging="334"/>
      </w:pPr>
      <w:rPr>
        <w:rFonts w:hint="default"/>
      </w:rPr>
    </w:lvl>
    <w:lvl w:ilvl="7" w:tplc="CD9C7EFA">
      <w:numFmt w:val="bullet"/>
      <w:lvlText w:val="•"/>
      <w:lvlJc w:val="left"/>
      <w:pPr>
        <w:ind w:left="7300" w:hanging="334"/>
      </w:pPr>
      <w:rPr>
        <w:rFonts w:hint="default"/>
      </w:rPr>
    </w:lvl>
    <w:lvl w:ilvl="8" w:tplc="E550DEB0">
      <w:numFmt w:val="bullet"/>
      <w:lvlText w:val="•"/>
      <w:lvlJc w:val="left"/>
      <w:pPr>
        <w:ind w:left="8229" w:hanging="334"/>
      </w:pPr>
      <w:rPr>
        <w:rFonts w:hint="default"/>
      </w:rPr>
    </w:lvl>
  </w:abstractNum>
  <w:abstractNum w:abstractNumId="2" w15:restartNumberingAfterBreak="0">
    <w:nsid w:val="51281FA3"/>
    <w:multiLevelType w:val="hybridMultilevel"/>
    <w:tmpl w:val="BB7273EE"/>
    <w:lvl w:ilvl="0" w:tplc="FD5A1608">
      <w:start w:val="1"/>
      <w:numFmt w:val="decimal"/>
      <w:lvlText w:val="%1)"/>
      <w:lvlJc w:val="left"/>
      <w:pPr>
        <w:ind w:left="1276" w:hanging="454"/>
        <w:jc w:val="left"/>
      </w:pPr>
      <w:rPr>
        <w:rFonts w:ascii="Arial" w:eastAsia="Arial" w:hAnsi="Arial" w:cs="Arial" w:hint="default"/>
        <w:i/>
        <w:spacing w:val="-1"/>
        <w:w w:val="99"/>
        <w:sz w:val="20"/>
        <w:szCs w:val="20"/>
      </w:rPr>
    </w:lvl>
    <w:lvl w:ilvl="1" w:tplc="93C67D74">
      <w:start w:val="1"/>
      <w:numFmt w:val="lowerLetter"/>
      <w:lvlText w:val="%2)"/>
      <w:lvlJc w:val="left"/>
      <w:pPr>
        <w:ind w:left="1559" w:hanging="284"/>
        <w:jc w:val="left"/>
      </w:pPr>
      <w:rPr>
        <w:rFonts w:ascii="Arial" w:eastAsia="Arial" w:hAnsi="Arial" w:cs="Arial" w:hint="default"/>
        <w:i/>
        <w:spacing w:val="-1"/>
        <w:w w:val="99"/>
        <w:sz w:val="20"/>
        <w:szCs w:val="20"/>
      </w:rPr>
    </w:lvl>
    <w:lvl w:ilvl="2" w:tplc="4C74639A">
      <w:numFmt w:val="bullet"/>
      <w:lvlText w:val="•"/>
      <w:lvlJc w:val="left"/>
      <w:pPr>
        <w:ind w:left="2507" w:hanging="284"/>
      </w:pPr>
      <w:rPr>
        <w:rFonts w:hint="default"/>
      </w:rPr>
    </w:lvl>
    <w:lvl w:ilvl="3" w:tplc="722EF020">
      <w:numFmt w:val="bullet"/>
      <w:lvlText w:val="•"/>
      <w:lvlJc w:val="left"/>
      <w:pPr>
        <w:ind w:left="3454" w:hanging="284"/>
      </w:pPr>
      <w:rPr>
        <w:rFonts w:hint="default"/>
      </w:rPr>
    </w:lvl>
    <w:lvl w:ilvl="4" w:tplc="9E3628C4">
      <w:numFmt w:val="bullet"/>
      <w:lvlText w:val="•"/>
      <w:lvlJc w:val="left"/>
      <w:pPr>
        <w:ind w:left="4402" w:hanging="284"/>
      </w:pPr>
      <w:rPr>
        <w:rFonts w:hint="default"/>
      </w:rPr>
    </w:lvl>
    <w:lvl w:ilvl="5" w:tplc="48322BC0">
      <w:numFmt w:val="bullet"/>
      <w:lvlText w:val="•"/>
      <w:lvlJc w:val="left"/>
      <w:pPr>
        <w:ind w:left="5349" w:hanging="284"/>
      </w:pPr>
      <w:rPr>
        <w:rFonts w:hint="default"/>
      </w:rPr>
    </w:lvl>
    <w:lvl w:ilvl="6" w:tplc="E6725704">
      <w:numFmt w:val="bullet"/>
      <w:lvlText w:val="•"/>
      <w:lvlJc w:val="left"/>
      <w:pPr>
        <w:ind w:left="6296" w:hanging="284"/>
      </w:pPr>
      <w:rPr>
        <w:rFonts w:hint="default"/>
      </w:rPr>
    </w:lvl>
    <w:lvl w:ilvl="7" w:tplc="9F061C32">
      <w:numFmt w:val="bullet"/>
      <w:lvlText w:val="•"/>
      <w:lvlJc w:val="left"/>
      <w:pPr>
        <w:ind w:left="7244" w:hanging="284"/>
      </w:pPr>
      <w:rPr>
        <w:rFonts w:hint="default"/>
      </w:rPr>
    </w:lvl>
    <w:lvl w:ilvl="8" w:tplc="16949612">
      <w:numFmt w:val="bullet"/>
      <w:lvlText w:val="•"/>
      <w:lvlJc w:val="left"/>
      <w:pPr>
        <w:ind w:left="8191" w:hanging="284"/>
      </w:pPr>
      <w:rPr>
        <w:rFonts w:hint="default"/>
      </w:rPr>
    </w:lvl>
  </w:abstractNum>
  <w:abstractNum w:abstractNumId="3" w15:restartNumberingAfterBreak="0">
    <w:nsid w:val="63D65F23"/>
    <w:multiLevelType w:val="hybridMultilevel"/>
    <w:tmpl w:val="617AF4D0"/>
    <w:lvl w:ilvl="0" w:tplc="D638DD90">
      <w:start w:val="1"/>
      <w:numFmt w:val="lowerLetter"/>
      <w:lvlText w:val="%1)"/>
      <w:lvlJc w:val="left"/>
      <w:pPr>
        <w:ind w:left="1516" w:hanging="360"/>
      </w:pPr>
      <w:rPr>
        <w:rFonts w:hint="default"/>
      </w:rPr>
    </w:lvl>
    <w:lvl w:ilvl="1" w:tplc="0C070019" w:tentative="1">
      <w:start w:val="1"/>
      <w:numFmt w:val="lowerLetter"/>
      <w:lvlText w:val="%2."/>
      <w:lvlJc w:val="left"/>
      <w:pPr>
        <w:ind w:left="2236" w:hanging="360"/>
      </w:pPr>
    </w:lvl>
    <w:lvl w:ilvl="2" w:tplc="0C07001B" w:tentative="1">
      <w:start w:val="1"/>
      <w:numFmt w:val="lowerRoman"/>
      <w:lvlText w:val="%3."/>
      <w:lvlJc w:val="right"/>
      <w:pPr>
        <w:ind w:left="2956" w:hanging="180"/>
      </w:pPr>
    </w:lvl>
    <w:lvl w:ilvl="3" w:tplc="0C07000F" w:tentative="1">
      <w:start w:val="1"/>
      <w:numFmt w:val="decimal"/>
      <w:lvlText w:val="%4."/>
      <w:lvlJc w:val="left"/>
      <w:pPr>
        <w:ind w:left="3676" w:hanging="360"/>
      </w:pPr>
    </w:lvl>
    <w:lvl w:ilvl="4" w:tplc="0C070019" w:tentative="1">
      <w:start w:val="1"/>
      <w:numFmt w:val="lowerLetter"/>
      <w:lvlText w:val="%5."/>
      <w:lvlJc w:val="left"/>
      <w:pPr>
        <w:ind w:left="4396" w:hanging="360"/>
      </w:pPr>
    </w:lvl>
    <w:lvl w:ilvl="5" w:tplc="0C07001B" w:tentative="1">
      <w:start w:val="1"/>
      <w:numFmt w:val="lowerRoman"/>
      <w:lvlText w:val="%6."/>
      <w:lvlJc w:val="right"/>
      <w:pPr>
        <w:ind w:left="5116" w:hanging="180"/>
      </w:pPr>
    </w:lvl>
    <w:lvl w:ilvl="6" w:tplc="0C07000F" w:tentative="1">
      <w:start w:val="1"/>
      <w:numFmt w:val="decimal"/>
      <w:lvlText w:val="%7."/>
      <w:lvlJc w:val="left"/>
      <w:pPr>
        <w:ind w:left="5836" w:hanging="360"/>
      </w:pPr>
    </w:lvl>
    <w:lvl w:ilvl="7" w:tplc="0C070019" w:tentative="1">
      <w:start w:val="1"/>
      <w:numFmt w:val="lowerLetter"/>
      <w:lvlText w:val="%8."/>
      <w:lvlJc w:val="left"/>
      <w:pPr>
        <w:ind w:left="6556" w:hanging="360"/>
      </w:pPr>
    </w:lvl>
    <w:lvl w:ilvl="8" w:tplc="0C07001B" w:tentative="1">
      <w:start w:val="1"/>
      <w:numFmt w:val="lowerRoman"/>
      <w:lvlText w:val="%9."/>
      <w:lvlJc w:val="right"/>
      <w:pPr>
        <w:ind w:left="7276" w:hanging="180"/>
      </w:pPr>
    </w:lvl>
  </w:abstractNum>
  <w:abstractNum w:abstractNumId="4" w15:restartNumberingAfterBreak="0">
    <w:nsid w:val="69AF2383"/>
    <w:multiLevelType w:val="hybridMultilevel"/>
    <w:tmpl w:val="88B85BA8"/>
    <w:lvl w:ilvl="0" w:tplc="15466A9E">
      <w:start w:val="1"/>
      <w:numFmt w:val="decimal"/>
      <w:lvlText w:val="%1."/>
      <w:lvlJc w:val="left"/>
      <w:pPr>
        <w:ind w:left="1156" w:hanging="360"/>
      </w:pPr>
      <w:rPr>
        <w:rFonts w:hint="default"/>
      </w:rPr>
    </w:lvl>
    <w:lvl w:ilvl="1" w:tplc="0C070019" w:tentative="1">
      <w:start w:val="1"/>
      <w:numFmt w:val="lowerLetter"/>
      <w:lvlText w:val="%2."/>
      <w:lvlJc w:val="left"/>
      <w:pPr>
        <w:ind w:left="1876" w:hanging="360"/>
      </w:pPr>
    </w:lvl>
    <w:lvl w:ilvl="2" w:tplc="0C07001B" w:tentative="1">
      <w:start w:val="1"/>
      <w:numFmt w:val="lowerRoman"/>
      <w:lvlText w:val="%3."/>
      <w:lvlJc w:val="right"/>
      <w:pPr>
        <w:ind w:left="2596" w:hanging="180"/>
      </w:pPr>
    </w:lvl>
    <w:lvl w:ilvl="3" w:tplc="0C07000F" w:tentative="1">
      <w:start w:val="1"/>
      <w:numFmt w:val="decimal"/>
      <w:lvlText w:val="%4."/>
      <w:lvlJc w:val="left"/>
      <w:pPr>
        <w:ind w:left="3316" w:hanging="360"/>
      </w:pPr>
    </w:lvl>
    <w:lvl w:ilvl="4" w:tplc="0C070019" w:tentative="1">
      <w:start w:val="1"/>
      <w:numFmt w:val="lowerLetter"/>
      <w:lvlText w:val="%5."/>
      <w:lvlJc w:val="left"/>
      <w:pPr>
        <w:ind w:left="4036" w:hanging="360"/>
      </w:pPr>
    </w:lvl>
    <w:lvl w:ilvl="5" w:tplc="0C07001B" w:tentative="1">
      <w:start w:val="1"/>
      <w:numFmt w:val="lowerRoman"/>
      <w:lvlText w:val="%6."/>
      <w:lvlJc w:val="right"/>
      <w:pPr>
        <w:ind w:left="4756" w:hanging="180"/>
      </w:pPr>
    </w:lvl>
    <w:lvl w:ilvl="6" w:tplc="0C07000F" w:tentative="1">
      <w:start w:val="1"/>
      <w:numFmt w:val="decimal"/>
      <w:lvlText w:val="%7."/>
      <w:lvlJc w:val="left"/>
      <w:pPr>
        <w:ind w:left="5476" w:hanging="360"/>
      </w:pPr>
    </w:lvl>
    <w:lvl w:ilvl="7" w:tplc="0C070019" w:tentative="1">
      <w:start w:val="1"/>
      <w:numFmt w:val="lowerLetter"/>
      <w:lvlText w:val="%8."/>
      <w:lvlJc w:val="left"/>
      <w:pPr>
        <w:ind w:left="6196" w:hanging="360"/>
      </w:pPr>
    </w:lvl>
    <w:lvl w:ilvl="8" w:tplc="0C07001B" w:tentative="1">
      <w:start w:val="1"/>
      <w:numFmt w:val="lowerRoman"/>
      <w:lvlText w:val="%9."/>
      <w:lvlJc w:val="right"/>
      <w:pPr>
        <w:ind w:left="6916" w:hanging="180"/>
      </w:pPr>
    </w:lvl>
  </w:abstractNum>
  <w:abstractNum w:abstractNumId="5" w15:restartNumberingAfterBreak="0">
    <w:nsid w:val="7D767CF0"/>
    <w:multiLevelType w:val="hybridMultilevel"/>
    <w:tmpl w:val="D1BC9228"/>
    <w:lvl w:ilvl="0" w:tplc="891C6B38">
      <w:start w:val="5"/>
      <w:numFmt w:val="decimal"/>
      <w:lvlText w:val="(%1)"/>
      <w:lvlJc w:val="left"/>
      <w:pPr>
        <w:ind w:left="796" w:hanging="379"/>
        <w:jc w:val="left"/>
      </w:pPr>
      <w:rPr>
        <w:rFonts w:ascii="Arial" w:eastAsia="Arial" w:hAnsi="Arial" w:cs="Arial" w:hint="default"/>
        <w:i/>
        <w:w w:val="99"/>
        <w:sz w:val="20"/>
        <w:szCs w:val="20"/>
      </w:rPr>
    </w:lvl>
    <w:lvl w:ilvl="1" w:tplc="9A82D932">
      <w:numFmt w:val="bullet"/>
      <w:lvlText w:val=""/>
      <w:lvlJc w:val="left"/>
      <w:pPr>
        <w:ind w:left="1559" w:hanging="284"/>
      </w:pPr>
      <w:rPr>
        <w:rFonts w:ascii="Wingdings" w:eastAsia="Wingdings" w:hAnsi="Wingdings" w:cs="Wingdings" w:hint="default"/>
        <w:color w:val="EF7C00"/>
        <w:w w:val="99"/>
        <w:sz w:val="20"/>
        <w:szCs w:val="20"/>
      </w:rPr>
    </w:lvl>
    <w:lvl w:ilvl="2" w:tplc="CB88C0B6">
      <w:numFmt w:val="bullet"/>
      <w:lvlText w:val=""/>
      <w:lvlJc w:val="left"/>
      <w:pPr>
        <w:ind w:left="1950" w:hanging="418"/>
      </w:pPr>
      <w:rPr>
        <w:rFonts w:ascii="Wingdings" w:eastAsia="Wingdings" w:hAnsi="Wingdings" w:cs="Wingdings" w:hint="default"/>
        <w:w w:val="100"/>
        <w:sz w:val="22"/>
        <w:szCs w:val="22"/>
      </w:rPr>
    </w:lvl>
    <w:lvl w:ilvl="3" w:tplc="85A2303A">
      <w:numFmt w:val="bullet"/>
      <w:lvlText w:val="•"/>
      <w:lvlJc w:val="left"/>
      <w:pPr>
        <w:ind w:left="2975" w:hanging="418"/>
      </w:pPr>
      <w:rPr>
        <w:rFonts w:hint="default"/>
      </w:rPr>
    </w:lvl>
    <w:lvl w:ilvl="4" w:tplc="71F41DCA">
      <w:numFmt w:val="bullet"/>
      <w:lvlText w:val="•"/>
      <w:lvlJc w:val="left"/>
      <w:pPr>
        <w:ind w:left="3991" w:hanging="418"/>
      </w:pPr>
      <w:rPr>
        <w:rFonts w:hint="default"/>
      </w:rPr>
    </w:lvl>
    <w:lvl w:ilvl="5" w:tplc="59A6A222">
      <w:numFmt w:val="bullet"/>
      <w:lvlText w:val="•"/>
      <w:lvlJc w:val="left"/>
      <w:pPr>
        <w:ind w:left="5007" w:hanging="418"/>
      </w:pPr>
      <w:rPr>
        <w:rFonts w:hint="default"/>
      </w:rPr>
    </w:lvl>
    <w:lvl w:ilvl="6" w:tplc="6FEE8C60">
      <w:numFmt w:val="bullet"/>
      <w:lvlText w:val="•"/>
      <w:lvlJc w:val="left"/>
      <w:pPr>
        <w:ind w:left="6023" w:hanging="418"/>
      </w:pPr>
      <w:rPr>
        <w:rFonts w:hint="default"/>
      </w:rPr>
    </w:lvl>
    <w:lvl w:ilvl="7" w:tplc="B6DA739C">
      <w:numFmt w:val="bullet"/>
      <w:lvlText w:val="•"/>
      <w:lvlJc w:val="left"/>
      <w:pPr>
        <w:ind w:left="7039" w:hanging="418"/>
      </w:pPr>
      <w:rPr>
        <w:rFonts w:hint="default"/>
      </w:rPr>
    </w:lvl>
    <w:lvl w:ilvl="8" w:tplc="86562D88">
      <w:numFmt w:val="bullet"/>
      <w:lvlText w:val="•"/>
      <w:lvlJc w:val="left"/>
      <w:pPr>
        <w:ind w:left="8054" w:hanging="418"/>
      </w:pPr>
      <w:rPr>
        <w:rFont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lU4UB2ViclwBuh0HKu/2NaIuKgn11ReQOcTZUpCTR1YTAkAwQD3hmKpDjh9O+OxBuYcDYWRWYKdtjvCBV14lw==" w:salt="rkabLLOti8mEACgvlUWPvA=="/>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13"/>
    <w:rsid w:val="0011130D"/>
    <w:rsid w:val="0012786B"/>
    <w:rsid w:val="002554B9"/>
    <w:rsid w:val="00264AFE"/>
    <w:rsid w:val="00504546"/>
    <w:rsid w:val="00573477"/>
    <w:rsid w:val="00670675"/>
    <w:rsid w:val="006A785D"/>
    <w:rsid w:val="0073521B"/>
    <w:rsid w:val="007E2414"/>
    <w:rsid w:val="007E319F"/>
    <w:rsid w:val="0095523A"/>
    <w:rsid w:val="00AD667A"/>
    <w:rsid w:val="00B12EF7"/>
    <w:rsid w:val="00BF77C7"/>
    <w:rsid w:val="00C16B9A"/>
    <w:rsid w:val="00C64AB6"/>
    <w:rsid w:val="00E329A3"/>
    <w:rsid w:val="00E93E0C"/>
    <w:rsid w:val="00EA7E13"/>
    <w:rsid w:val="00EE0A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82F7"/>
  <w15:docId w15:val="{DD07731B-8F1F-4FB0-BE66-BB95A402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spacing w:before="79"/>
      <w:ind w:left="1555" w:right="1545"/>
      <w:jc w:val="center"/>
      <w:outlineLvl w:val="0"/>
    </w:pPr>
    <w:rPr>
      <w:b/>
      <w:bCs/>
    </w:rPr>
  </w:style>
  <w:style w:type="paragraph" w:styleId="berschrift2">
    <w:name w:val="heading 2"/>
    <w:basedOn w:val="Standard"/>
    <w:uiPriority w:val="1"/>
    <w:qFormat/>
    <w:pPr>
      <w:spacing w:before="129"/>
      <w:ind w:left="1533"/>
      <w:jc w:val="both"/>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20"/>
      <w:szCs w:val="20"/>
    </w:rPr>
  </w:style>
  <w:style w:type="paragraph" w:styleId="Listenabsatz">
    <w:name w:val="List Paragraph"/>
    <w:basedOn w:val="Standard"/>
    <w:uiPriority w:val="1"/>
    <w:qFormat/>
    <w:pPr>
      <w:spacing w:before="4"/>
      <w:ind w:left="796" w:hanging="283"/>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11130D"/>
    <w:pPr>
      <w:tabs>
        <w:tab w:val="center" w:pos="4536"/>
        <w:tab w:val="right" w:pos="9072"/>
      </w:tabs>
    </w:pPr>
  </w:style>
  <w:style w:type="character" w:customStyle="1" w:styleId="KopfzeileZchn">
    <w:name w:val="Kopfzeile Zchn"/>
    <w:basedOn w:val="Absatz-Standardschriftart"/>
    <w:link w:val="Kopfzeile"/>
    <w:uiPriority w:val="99"/>
    <w:rsid w:val="0011130D"/>
    <w:rPr>
      <w:rFonts w:ascii="Arial" w:eastAsia="Arial" w:hAnsi="Arial" w:cs="Arial"/>
    </w:rPr>
  </w:style>
  <w:style w:type="paragraph" w:styleId="Fuzeile">
    <w:name w:val="footer"/>
    <w:basedOn w:val="Standard"/>
    <w:link w:val="FuzeileZchn"/>
    <w:uiPriority w:val="99"/>
    <w:unhideWhenUsed/>
    <w:rsid w:val="0011130D"/>
    <w:pPr>
      <w:tabs>
        <w:tab w:val="center" w:pos="4536"/>
        <w:tab w:val="right" w:pos="9072"/>
      </w:tabs>
    </w:pPr>
  </w:style>
  <w:style w:type="character" w:customStyle="1" w:styleId="FuzeileZchn">
    <w:name w:val="Fußzeile Zchn"/>
    <w:basedOn w:val="Absatz-Standardschriftart"/>
    <w:link w:val="Fuzeile"/>
    <w:uiPriority w:val="99"/>
    <w:rsid w:val="0011130D"/>
    <w:rPr>
      <w:rFonts w:ascii="Arial" w:eastAsia="Arial" w:hAnsi="Arial" w:cs="Arial"/>
    </w:rPr>
  </w:style>
  <w:style w:type="character" w:styleId="Platzhaltertext">
    <w:name w:val="Placeholder Text"/>
    <w:basedOn w:val="Absatz-Standardschriftart"/>
    <w:uiPriority w:val="99"/>
    <w:semiHidden/>
    <w:rsid w:val="00B12EF7"/>
    <w:rPr>
      <w:color w:val="808080"/>
    </w:rPr>
  </w:style>
  <w:style w:type="table" w:styleId="Tabellenraster">
    <w:name w:val="Table Grid"/>
    <w:basedOn w:val="NormaleTabelle"/>
    <w:uiPriority w:val="39"/>
    <w:rsid w:val="00EE0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C93D7174-34F6-4985-80ED-4466C5C6297B}"/>
      </w:docPartPr>
      <w:docPartBody>
        <w:p w:rsidR="00000000" w:rsidRDefault="00934C8E">
          <w:r w:rsidRPr="004B3F68">
            <w:rPr>
              <w:rStyle w:val="Platzhaltertext"/>
            </w:rPr>
            <w:t>Klicken oder tippen Sie, um ein Datum einzugeben.</w:t>
          </w:r>
        </w:p>
      </w:docPartBody>
    </w:docPart>
    <w:docPart>
      <w:docPartPr>
        <w:name w:val="B23AE579B41B4BBEAE50CAE9707B0D33"/>
        <w:category>
          <w:name w:val="Allgemein"/>
          <w:gallery w:val="placeholder"/>
        </w:category>
        <w:types>
          <w:type w:val="bbPlcHdr"/>
        </w:types>
        <w:behaviors>
          <w:behavior w:val="content"/>
        </w:behaviors>
        <w:guid w:val="{D6D734AD-D026-4332-AB52-80190EBA8A33}"/>
      </w:docPartPr>
      <w:docPartBody>
        <w:p w:rsidR="00000000" w:rsidRDefault="00934C8E" w:rsidP="00934C8E">
          <w:pPr>
            <w:pStyle w:val="B23AE579B41B4BBEAE50CAE9707B0D33"/>
          </w:pPr>
          <w:r w:rsidRPr="004B3F6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8E"/>
    <w:rsid w:val="00934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4C8E"/>
    <w:rPr>
      <w:color w:val="808080"/>
    </w:rPr>
  </w:style>
  <w:style w:type="paragraph" w:customStyle="1" w:styleId="B23AE579B41B4BBEAE50CAE9707B0D33">
    <w:name w:val="B23AE579B41B4BBEAE50CAE9707B0D33"/>
    <w:rsid w:val="00934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Anzeige gem</vt:lpstr>
    </vt:vector>
  </TitlesOfParts>
  <Company>Finanzmarktaufsicht</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 gem</dc:title>
  <dc:creator>simon</dc:creator>
  <cp:lastModifiedBy>Bailey Michael</cp:lastModifiedBy>
  <cp:revision>4</cp:revision>
  <dcterms:created xsi:type="dcterms:W3CDTF">2020-03-30T15:24:00Z</dcterms:created>
  <dcterms:modified xsi:type="dcterms:W3CDTF">2020-09-28T13:02:00Z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Microsoft® Word 2016</vt:lpwstr>
  </property>
  <property fmtid="{D5CDD505-2E9C-101B-9397-08002B2CF9AE}" pid="4" name="LastSaved">
    <vt:filetime>2018-08-30T00:00:00Z</vt:filetime>
  </property>
</Properties>
</file>