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1313" w:rsidR="00A25157" w:rsidP="006608B5" w:rsidRDefault="00E23E82" w14:paraId="19AB25AF" w14:textId="0EFDD32E">
      <w:pPr>
        <w:pStyle w:val="YELLOWlevel"/>
      </w:pPr>
      <w:r w:rsidRPr="00901313">
        <w:cr/>
      </w:r>
      <w:r w:rsidRPr="00901313">
        <w:br/>
        <w:t>SRB-GELB</w:t>
      </w:r>
    </w:p>
    <w:p w:rsidRPr="00901313" w:rsidR="00AA7711" w:rsidP="00AA7711" w:rsidRDefault="00AA7711" w14:paraId="0B780EFA" w14:textId="58E1B09B">
      <w:pPr>
        <w:rPr>
          <w:rFonts w:cstheme="minorHAnsi"/>
          <w:szCs w:val="18"/>
        </w:rPr>
      </w:pPr>
    </w:p>
    <w:p w:rsidRPr="00901313" w:rsidR="00D80FF4" w:rsidP="00AA7711" w:rsidRDefault="00D80FF4" w14:paraId="6541196D" w14:textId="0D7952C0">
      <w:pPr>
        <w:rPr>
          <w:rFonts w:cstheme="minorHAnsi"/>
          <w:szCs w:val="18"/>
        </w:rPr>
      </w:pPr>
    </w:p>
    <w:p w:rsidRPr="00901313" w:rsidR="00D80FF4" w:rsidP="005F61D9" w:rsidRDefault="005F61D9" w14:paraId="026855AA" w14:textId="6DF93D16">
      <w:pPr>
        <w:tabs>
          <w:tab w:val="left" w:pos="7920"/>
        </w:tabs>
        <w:rPr>
          <w:rFonts w:cstheme="minorHAnsi"/>
          <w:szCs w:val="18"/>
        </w:rPr>
      </w:pPr>
      <w:r w:rsidRPr="00901313">
        <w:tab/>
      </w:r>
    </w:p>
    <w:p w:rsidRPr="00901313" w:rsidR="00D80FF4" w:rsidP="00AA7711" w:rsidRDefault="00D80FF4" w14:paraId="7542E884" w14:textId="77777777">
      <w:pPr>
        <w:rPr>
          <w:rFonts w:cstheme="minorHAnsi"/>
          <w:szCs w:val="18"/>
        </w:rPr>
      </w:pPr>
    </w:p>
    <w:p w:rsidRPr="00901313" w:rsidR="0044677C" w:rsidP="000723E4" w:rsidRDefault="0044677C" w14:paraId="39896CC3" w14:textId="77777777">
      <w:pPr>
        <w:rPr>
          <w:rFonts w:cstheme="minorHAnsi"/>
          <w:szCs w:val="18"/>
        </w:rPr>
      </w:pPr>
    </w:p>
    <w:p w:rsidRPr="00901313" w:rsidR="004E5B29" w:rsidP="00445F86" w:rsidRDefault="004E5B29" w14:paraId="11D38953" w14:textId="77777777">
      <w:pPr>
        <w:rPr>
          <w:b/>
          <w:color w:val="005EB8"/>
          <w:sz w:val="28"/>
          <w:szCs w:val="58"/>
        </w:rPr>
      </w:pPr>
    </w:p>
    <w:p w:rsidRPr="00901313" w:rsidR="004E5B29" w:rsidP="00445F86" w:rsidRDefault="004E5B29" w14:paraId="376279F3" w14:textId="3F834D96">
      <w:pPr>
        <w:rPr>
          <w:b/>
          <w:color w:val="005EB8"/>
          <w:sz w:val="28"/>
          <w:szCs w:val="58"/>
        </w:rPr>
      </w:pPr>
    </w:p>
    <w:p w:rsidRPr="00901313" w:rsidR="003C1568" w:rsidP="00445F86" w:rsidRDefault="003C1568" w14:paraId="2B445AE5" w14:textId="77777777">
      <w:pPr>
        <w:rPr>
          <w:b/>
          <w:color w:val="005EB8"/>
          <w:sz w:val="28"/>
          <w:szCs w:val="58"/>
        </w:rPr>
      </w:pPr>
    </w:p>
    <w:p w:rsidRPr="00901313" w:rsidR="00445F86" w:rsidP="00445F86" w:rsidRDefault="004E5B29" w14:paraId="73F539D2" w14:textId="1AB86917">
      <w:pPr>
        <w:rPr>
          <w:rFonts w:cstheme="minorHAnsi"/>
          <w:b/>
          <w:color w:val="000099"/>
          <w:sz w:val="28"/>
          <w:szCs w:val="28"/>
        </w:rPr>
      </w:pPr>
      <w:r w:rsidRPr="00901313">
        <w:rPr>
          <w:b/>
          <w:color w:val="005EB8"/>
          <w:sz w:val="28"/>
          <w:szCs w:val="58"/>
        </w:rPr>
        <w:t>Anhang II – Anforderungen bezüglich einer zusätzlichen Zusicherung</w:t>
      </w:r>
    </w:p>
    <w:p w:rsidRPr="00901313" w:rsidR="00445F86" w:rsidP="00445F86" w:rsidRDefault="00445F86" w14:paraId="21B83390" w14:textId="77777777">
      <w:pPr>
        <w:rPr>
          <w:rFonts w:cstheme="minorHAnsi"/>
          <w:b/>
          <w:color w:val="000099"/>
          <w:szCs w:val="18"/>
        </w:rPr>
      </w:pPr>
    </w:p>
    <w:p w:rsidRPr="00901313" w:rsidR="00445F86" w:rsidP="00625451" w:rsidRDefault="00445F86" w14:paraId="329EE1F9" w14:textId="77777777">
      <w:pPr>
        <w:jc w:val="center"/>
        <w:rPr>
          <w:b/>
          <w:color w:val="005EB8"/>
          <w:sz w:val="20"/>
          <w:szCs w:val="20"/>
        </w:rPr>
      </w:pPr>
    </w:p>
    <w:p w:rsidRPr="00901313" w:rsidR="00445F86" w:rsidP="00625451" w:rsidRDefault="00445F86" w14:paraId="144FCBF3" w14:textId="2FA45579">
      <w:pPr>
        <w:jc w:val="center"/>
        <w:rPr>
          <w:b/>
          <w:color w:val="005EB8"/>
          <w:sz w:val="20"/>
          <w:szCs w:val="20"/>
        </w:rPr>
      </w:pPr>
      <w:r w:rsidRPr="00901313">
        <w:rPr>
          <w:b/>
          <w:color w:val="005EB8"/>
          <w:sz w:val="20"/>
          <w:szCs w:val="20"/>
        </w:rPr>
        <w:t>Im Voraus erhobene Beiträge zum Einheitlichen Abwicklungsfonds für 2023</w:t>
      </w:r>
    </w:p>
    <w:p w:rsidRPr="00901313" w:rsidR="00445F86" w:rsidP="00625451" w:rsidRDefault="00445F86" w14:paraId="544FEF7C" w14:textId="77777777">
      <w:pPr>
        <w:jc w:val="center"/>
        <w:rPr>
          <w:b/>
          <w:color w:val="005EB8"/>
          <w:sz w:val="20"/>
          <w:szCs w:val="20"/>
        </w:rPr>
      </w:pPr>
      <w:r w:rsidRPr="00901313">
        <w:rPr>
          <w:b/>
          <w:color w:val="005EB8"/>
          <w:sz w:val="20"/>
          <w:szCs w:val="20"/>
        </w:rPr>
        <w:t>Zusätzliche Zusicherung</w:t>
      </w:r>
    </w:p>
    <w:p w:rsidRPr="00901313" w:rsidR="00445F86" w:rsidP="00445F86" w:rsidRDefault="00445F86" w14:paraId="19A34975" w14:textId="77777777">
      <w:pPr>
        <w:ind w:left="-142"/>
        <w:rPr>
          <w:rFonts w:cstheme="minorHAnsi"/>
          <w:b/>
          <w:szCs w:val="18"/>
        </w:rPr>
      </w:pPr>
    </w:p>
    <w:p w:rsidRPr="00901313" w:rsidR="00445F86" w:rsidP="00445F86" w:rsidRDefault="00445F86" w14:paraId="2845C614" w14:textId="320C4B96">
      <w:pPr>
        <w:jc w:val="both"/>
        <w:rPr>
          <w:rFonts w:cstheme="minorHAnsi"/>
          <w:szCs w:val="18"/>
        </w:rPr>
      </w:pPr>
      <w:r w:rsidRPr="00901313">
        <w:t>Ziel dieses Dokuments ist es, den nationalen Abwicklungsbehörden und den Instituten den Inhalt und die Form der Anforderungen bezüglich einer zusätzlichen Zusicherung betreffend die Daten zu erläutern, die für die Berechnung der im Voraus erhobenen Beiträge zum Einheitlichen Abwicklungsfonds (SRF) für 2023 sowie gegebenenfalls für Anpassungen von früheren Zyklen, die im Zyklus 2023 vorgenommen werden, herangezogen werden.</w:t>
      </w:r>
    </w:p>
    <w:p w:rsidRPr="00901313" w:rsidR="00445F86" w:rsidP="00445F86" w:rsidRDefault="00445F86" w14:paraId="17CCA610" w14:textId="77777777">
      <w:pPr>
        <w:jc w:val="both"/>
        <w:rPr>
          <w:rFonts w:cstheme="minorHAnsi"/>
          <w:szCs w:val="18"/>
        </w:rPr>
      </w:pPr>
    </w:p>
    <w:p w:rsidRPr="00901313" w:rsidR="00445F86" w:rsidP="00445F86" w:rsidRDefault="00445F86" w14:paraId="210B8184" w14:textId="77777777">
      <w:pPr>
        <w:jc w:val="both"/>
        <w:rPr>
          <w:rFonts w:cstheme="minorHAnsi"/>
          <w:b/>
          <w:color w:val="0046AD"/>
          <w:szCs w:val="18"/>
        </w:rPr>
      </w:pPr>
      <w:r w:rsidRPr="00901313">
        <w:t>Dieses Dokument ist in folgende Abschnitte unterteilt:</w:t>
      </w:r>
    </w:p>
    <w:p w:rsidRPr="00901313" w:rsidR="006C5102" w:rsidP="006C5102" w:rsidRDefault="006C5102" w14:paraId="1C0E8941" w14:textId="77777777">
      <w:pPr>
        <w:spacing w:after="240" w:line="240" w:lineRule="auto"/>
        <w:jc w:val="both"/>
        <w:rPr>
          <w:rFonts w:cstheme="minorHAnsi"/>
          <w:szCs w:val="18"/>
        </w:rPr>
      </w:pPr>
    </w:p>
    <w:p w:rsidRPr="00901313" w:rsidR="00445F86" w:rsidP="004F7F73" w:rsidRDefault="00C14120" w14:paraId="79850DB4" w14:textId="1BA9BA6B">
      <w:pPr>
        <w:pStyle w:val="Heading2"/>
        <w:numPr>
          <w:ilvl w:val="0"/>
          <w:numId w:val="14"/>
        </w:numPr>
        <w:rPr>
          <w:b/>
        </w:rPr>
      </w:pPr>
      <w:hyperlink w:history="1" w:anchor="_1._Additional_assurance">
        <w:r w:rsidRPr="00901313" w:rsidR="0011259A">
          <w:rPr>
            <w:b/>
          </w:rPr>
          <w:t>Einleitung</w:t>
        </w:r>
      </w:hyperlink>
    </w:p>
    <w:p w:rsidRPr="00901313" w:rsidR="00445F86" w:rsidP="004F7F73" w:rsidRDefault="00C14120" w14:paraId="006BB705" w14:textId="59615816">
      <w:pPr>
        <w:pStyle w:val="Heading2"/>
        <w:numPr>
          <w:ilvl w:val="0"/>
          <w:numId w:val="14"/>
        </w:numPr>
        <w:rPr>
          <w:b/>
        </w:rPr>
      </w:pPr>
      <w:hyperlink w:history="1" w:anchor="_Agreed-upon_procedures">
        <w:r w:rsidRPr="00901313" w:rsidR="0011259A">
          <w:rPr>
            <w:b/>
          </w:rPr>
          <w:t>Vereinbarte Prüfungshandlungen</w:t>
        </w:r>
      </w:hyperlink>
    </w:p>
    <w:p w:rsidRPr="00901313" w:rsidR="00445F86" w:rsidP="00445F86" w:rsidRDefault="00445F86" w14:paraId="3F58DB69" w14:textId="77777777">
      <w:pPr>
        <w:rPr>
          <w:rFonts w:cstheme="minorHAnsi"/>
          <w:szCs w:val="18"/>
        </w:rPr>
      </w:pPr>
      <w:bookmarkStart w:name="_Additional_assurance_decision" w:id="0"/>
      <w:bookmarkEnd w:id="0"/>
    </w:p>
    <w:p w:rsidRPr="00901313" w:rsidR="00445F86" w:rsidP="00445F86" w:rsidRDefault="00445F86" w14:paraId="4EE62582" w14:textId="77777777">
      <w:pPr>
        <w:rPr>
          <w:rFonts w:cstheme="minorHAnsi"/>
          <w:szCs w:val="18"/>
        </w:rPr>
      </w:pPr>
      <w:r w:rsidRPr="00901313">
        <w:br w:type="page"/>
      </w:r>
    </w:p>
    <w:p w:rsidRPr="00901313" w:rsidR="00445F86" w:rsidP="004F7F73" w:rsidRDefault="004E5B29" w14:paraId="6E39D3C6" w14:textId="4ECB8705">
      <w:pPr>
        <w:pStyle w:val="ListParagraph"/>
        <w:keepNext/>
        <w:keepLines/>
        <w:widowControl w:val="0"/>
        <w:numPr>
          <w:ilvl w:val="0"/>
          <w:numId w:val="15"/>
        </w:numPr>
        <w:spacing w:after="240"/>
        <w:ind w:left="360"/>
        <w:outlineLvl w:val="1"/>
        <w:rPr>
          <w:b/>
          <w:color w:val="005EB8"/>
          <w:sz w:val="20"/>
          <w:szCs w:val="20"/>
        </w:rPr>
      </w:pPr>
      <w:bookmarkStart w:name="_Additional_assurance_decision_1" w:id="1"/>
      <w:bookmarkStart w:name="_1._Additional_assurance" w:id="2"/>
      <w:bookmarkEnd w:id="1"/>
      <w:bookmarkEnd w:id="2"/>
      <w:r w:rsidRPr="00901313">
        <w:rPr>
          <w:b/>
          <w:color w:val="005EB8"/>
          <w:sz w:val="20"/>
          <w:szCs w:val="20"/>
        </w:rPr>
        <w:lastRenderedPageBreak/>
        <w:t>Einleitung</w:t>
      </w:r>
    </w:p>
    <w:p w:rsidRPr="00901313" w:rsidR="00445F86" w:rsidP="000F14BF" w:rsidRDefault="00445F86" w14:paraId="3B7E542E" w14:textId="7107AF98">
      <w:pPr>
        <w:spacing w:line="276" w:lineRule="auto"/>
        <w:jc w:val="both"/>
        <w:rPr>
          <w:rFonts w:eastAsia="Calibri" w:cstheme="minorHAnsi"/>
          <w:szCs w:val="18"/>
        </w:rPr>
      </w:pPr>
      <w:r w:rsidRPr="00901313">
        <w:t>Um eine bessere Vergleichbarkeit der beigebrachten Informationen und eine wirksame Verarbeitung der erhaltenen Informationen zu erreichen, werden einige Institute aufgefordert, zusätzliche Zusicherungen zu Daten vorzulegen, die für die Berechnung der im Voraus erhobenen Beiträge für 2023 und für Anpassungen zu verwenden sind.</w:t>
      </w:r>
    </w:p>
    <w:p w:rsidRPr="00901313" w:rsidR="00445F86" w:rsidP="000F14BF" w:rsidRDefault="00445F86" w14:paraId="78704F49" w14:textId="77777777">
      <w:pPr>
        <w:spacing w:line="276" w:lineRule="auto"/>
        <w:jc w:val="both"/>
        <w:rPr>
          <w:rFonts w:eastAsia="Calibri" w:cstheme="minorHAnsi"/>
          <w:szCs w:val="18"/>
        </w:rPr>
      </w:pPr>
    </w:p>
    <w:p w:rsidRPr="00901313" w:rsidR="00445F86" w:rsidP="004F7F73" w:rsidRDefault="00445F86" w14:paraId="079E96EA" w14:textId="7872D281">
      <w:pPr>
        <w:numPr>
          <w:ilvl w:val="0"/>
          <w:numId w:val="7"/>
        </w:numPr>
        <w:spacing w:line="276" w:lineRule="auto"/>
        <w:jc w:val="both"/>
        <w:rPr>
          <w:rFonts w:cstheme="minorHAnsi"/>
          <w:szCs w:val="18"/>
        </w:rPr>
      </w:pPr>
      <w:r w:rsidRPr="00901313">
        <w:rPr>
          <w:b/>
          <w:szCs w:val="18"/>
        </w:rPr>
        <w:t>Betroffene Institute</w:t>
      </w:r>
      <w:r w:rsidRPr="00901313">
        <w:t>: Alle beitragenden Institute, die Teil einer Gruppe sind, die unter die direkte Aufsicht der EZB fällt, werden um zusätzliche Zusicherungen ersucht, es sei denn, die Gruppe unterliegt der Pauschalzahlung</w:t>
      </w:r>
      <w:r w:rsidRPr="00901313">
        <w:rPr>
          <w:rStyle w:val="FootnoteReference"/>
          <w:rFonts w:eastAsia="Calibri" w:cstheme="minorHAnsi"/>
          <w:szCs w:val="18"/>
        </w:rPr>
        <w:footnoteReference w:id="2"/>
      </w:r>
      <w:r w:rsidRPr="00901313">
        <w:t xml:space="preserve"> und hat keinen anderen Betrag angefordert</w:t>
      </w:r>
      <w:r w:rsidRPr="00901313" w:rsidR="00817C17">
        <w:rPr>
          <w:rStyle w:val="FootnoteReference"/>
          <w:rFonts w:eastAsia="Calibri" w:cstheme="minorHAnsi"/>
          <w:szCs w:val="18"/>
        </w:rPr>
        <w:footnoteReference w:id="3"/>
      </w:r>
      <w:r w:rsidRPr="00901313">
        <w:t>.</w:t>
      </w:r>
    </w:p>
    <w:p w:rsidRPr="00901313" w:rsidR="00445F86" w:rsidP="000F14BF" w:rsidRDefault="00445F86" w14:paraId="6A1037FE" w14:textId="77777777">
      <w:pPr>
        <w:spacing w:line="276" w:lineRule="auto"/>
        <w:ind w:left="720"/>
        <w:jc w:val="both"/>
        <w:rPr>
          <w:rFonts w:cstheme="minorHAnsi"/>
          <w:szCs w:val="18"/>
        </w:rPr>
      </w:pPr>
    </w:p>
    <w:p w:rsidRPr="00901313" w:rsidR="00445F86" w:rsidP="004F7F73" w:rsidRDefault="00445F86" w14:paraId="0B40F2D4" w14:textId="4EE83FD2">
      <w:pPr>
        <w:numPr>
          <w:ilvl w:val="0"/>
          <w:numId w:val="7"/>
        </w:numPr>
        <w:spacing w:line="276" w:lineRule="auto"/>
        <w:jc w:val="both"/>
        <w:rPr>
          <w:rFonts w:cstheme="minorHAnsi"/>
          <w:i/>
          <w:szCs w:val="18"/>
        </w:rPr>
      </w:pPr>
      <w:r w:rsidRPr="00901313">
        <w:rPr>
          <w:b/>
          <w:szCs w:val="18"/>
        </w:rPr>
        <w:t>Vereinbarte Prüfungshandlungen:</w:t>
      </w:r>
      <w:r w:rsidRPr="00901313">
        <w:t xml:space="preserve"> Betroffene Institute müssen eine Bestätigung eines Prüfers zu den aufgeführten spezifischen Datenpunkten vorlegen. Dies gilt sowohl für den aktuellen Zyklus als auch für Anpassungen. </w:t>
      </w:r>
      <w:r w:rsidRPr="00901313">
        <w:rPr>
          <w:i/>
          <w:szCs w:val="18"/>
        </w:rPr>
        <w:t>Hinweis: Die Option einer Abnahme der gesamten Vorlage durch das Leitungsorgan ist nicht möglich.</w:t>
      </w:r>
    </w:p>
    <w:p w:rsidRPr="00901313" w:rsidR="00205E0A" w:rsidP="000F14BF" w:rsidRDefault="00205E0A" w14:paraId="16D73589" w14:textId="77777777">
      <w:pPr>
        <w:pStyle w:val="ListParagraph"/>
        <w:numPr>
          <w:ilvl w:val="0"/>
          <w:numId w:val="0"/>
        </w:numPr>
        <w:spacing w:line="276" w:lineRule="auto"/>
        <w:ind w:left="709"/>
        <w:rPr>
          <w:rFonts w:cstheme="minorHAnsi"/>
          <w:i/>
          <w:szCs w:val="18"/>
        </w:rPr>
      </w:pPr>
    </w:p>
    <w:p w:rsidRPr="00901313" w:rsidR="00445F86" w:rsidP="004F7F73" w:rsidRDefault="00445F86" w14:paraId="6AE78BA2" w14:textId="1E2863C0">
      <w:pPr>
        <w:numPr>
          <w:ilvl w:val="0"/>
          <w:numId w:val="3"/>
        </w:numPr>
        <w:spacing w:line="276" w:lineRule="auto"/>
        <w:jc w:val="both"/>
        <w:rPr>
          <w:rFonts w:eastAsia="Calibri" w:cstheme="minorHAnsi"/>
          <w:szCs w:val="18"/>
        </w:rPr>
      </w:pPr>
      <w:r w:rsidRPr="00901313">
        <w:rPr>
          <w:b/>
          <w:szCs w:val="18"/>
        </w:rPr>
        <w:t>Anwendungsbereich der vereinbarten Prüfungshandlungen:</w:t>
      </w:r>
      <w:r w:rsidRPr="00901313">
        <w:t xml:space="preserve"> Der Anwendungsbereich der vereinbarten Prüfungshandlungen umfasst Einlagen (als Abzug), Anpassungen für derivative Finanzinstrumente, gruppeninterne institutsbezogene Sicherungssysteme und Verbindlichkeiten in Zusammenhang mit Förderdarlehen, die für Abzüge in Betracht kommen, in Einklang mit Artikel 5 Absatz 1 der Delegierten Verordnung (EU) 2015/63 der Kommission sowie Eigenmittel (</w:t>
      </w:r>
      <w:r w:rsidRPr="00901313">
        <w:rPr>
          <w:i/>
          <w:szCs w:val="18"/>
        </w:rPr>
        <w:t>der letztgenannte Datenpunkt nur für Institute, denen von der zuständigen Behörde eine Ausnahme für die Meldung der Eigenmittel auf Einzelebene gewährt wurde)</w:t>
      </w:r>
      <w:r w:rsidRPr="00901313">
        <w:t>.</w:t>
      </w:r>
    </w:p>
    <w:p w:rsidRPr="00901313" w:rsidR="00445F86" w:rsidP="000F14BF" w:rsidRDefault="00445F86" w14:paraId="4FE4B246" w14:textId="77777777">
      <w:pPr>
        <w:spacing w:line="276" w:lineRule="auto"/>
        <w:jc w:val="both"/>
        <w:rPr>
          <w:rFonts w:cstheme="minorHAnsi"/>
          <w:szCs w:val="18"/>
        </w:rPr>
      </w:pPr>
    </w:p>
    <w:p w:rsidRPr="00901313" w:rsidR="005E264D" w:rsidP="004F7F73" w:rsidRDefault="00445F86" w14:paraId="28877394" w14:textId="77777777">
      <w:pPr>
        <w:numPr>
          <w:ilvl w:val="0"/>
          <w:numId w:val="3"/>
        </w:numPr>
        <w:spacing w:line="276" w:lineRule="auto"/>
        <w:jc w:val="both"/>
        <w:rPr>
          <w:rFonts w:cstheme="minorHAnsi"/>
          <w:szCs w:val="18"/>
        </w:rPr>
      </w:pPr>
      <w:r w:rsidRPr="00901313">
        <w:rPr>
          <w:b/>
          <w:szCs w:val="18"/>
        </w:rPr>
        <w:t>Ermessensspielraum der nationalen Abwicklungsbehörden:</w:t>
      </w:r>
      <w:r w:rsidRPr="00901313">
        <w:t xml:space="preserve"> Die nationalen Abwicklungsbehörden können in eigenem Ermessen entscheiden, welche Institute und welche Daten den vereinbarten Prüfungshandlungen zu unterziehen sind. Die nationalen Abwicklungsbehörden sollten anschließend den SRB informieren, wenn sie diesen Ermessensspielraum nutzen.</w:t>
      </w:r>
    </w:p>
    <w:p w:rsidRPr="00901313" w:rsidR="005E264D" w:rsidP="005E264D" w:rsidRDefault="005E264D" w14:paraId="5F1D059A" w14:textId="77777777">
      <w:pPr>
        <w:pStyle w:val="ListParagraph"/>
        <w:numPr>
          <w:ilvl w:val="0"/>
          <w:numId w:val="0"/>
        </w:numPr>
        <w:ind w:left="709"/>
        <w:rPr>
          <w:rFonts w:cstheme="minorHAnsi"/>
          <w:b/>
          <w:szCs w:val="18"/>
        </w:rPr>
      </w:pPr>
    </w:p>
    <w:p w:rsidRPr="00901313" w:rsidR="008F4A0E" w:rsidP="004F7F73" w:rsidRDefault="0024030F" w14:paraId="5FC13794" w14:textId="35AB637F">
      <w:pPr>
        <w:numPr>
          <w:ilvl w:val="0"/>
          <w:numId w:val="3"/>
        </w:numPr>
        <w:spacing w:line="276" w:lineRule="auto"/>
        <w:jc w:val="both"/>
        <w:rPr>
          <w:rFonts w:cstheme="minorHAnsi"/>
          <w:szCs w:val="18"/>
        </w:rPr>
      </w:pPr>
      <w:r w:rsidRPr="00901313">
        <w:rPr>
          <w:b/>
          <w:szCs w:val="18"/>
        </w:rPr>
        <w:t>Anpassungen:</w:t>
      </w:r>
      <w:r w:rsidRPr="00901313">
        <w:t xml:space="preserve"> Diese Anforderungen bezüglich einer zusätzlichen Zusicherung finden in den jeweiligen Anpassungen der Datenpunkten Anwendung, mit denen sich die vereinbarten Prüfungshandlungen befassen</w:t>
      </w:r>
      <w:r w:rsidRPr="00901313" w:rsidR="00BD53A5">
        <w:rPr>
          <w:rStyle w:val="FootnoteReference"/>
          <w:rFonts w:cstheme="minorHAnsi"/>
          <w:szCs w:val="18"/>
        </w:rPr>
        <w:footnoteReference w:id="4"/>
      </w:r>
      <w:r w:rsidRPr="00901313">
        <w:t xml:space="preserve">. </w:t>
      </w:r>
      <w:r w:rsidRPr="00901313">
        <w:rPr>
          <w:i/>
          <w:szCs w:val="18"/>
        </w:rPr>
        <w:t>Ausnahmsweise</w:t>
      </w:r>
      <w:r w:rsidRPr="00901313">
        <w:t xml:space="preserve"> ist kein (neuer) Bericht mit den vereinbarten Prüfungshandlungen über den angepassten Datenpunkt unter den folgenden Bedingungen erforderlich: (i) die Anpassung ist aufgrund des Berichts des Prüfers in einem früheren Zyklus angefordert, in dem der fehlerhafte Datenpunkt festgestellt wurde, und (ii) derselbe Bericht des Prüfers erwähnte ausdrücklich die vorherigen Zahlen und den neuen Wert, die für die Zwecke der Berechnung der Anpassung erneut vorgelegt werden sollen, und (iii) dieser Bericht ist dem angepassten Meldebogen beigefügt.</w:t>
      </w:r>
    </w:p>
    <w:p w:rsidRPr="00901313" w:rsidR="0024030F" w:rsidP="0027713C" w:rsidRDefault="0024030F" w14:paraId="2A5F5365" w14:textId="4B4AE06F">
      <w:pPr>
        <w:spacing w:line="276" w:lineRule="auto"/>
        <w:ind w:left="720"/>
        <w:jc w:val="both"/>
        <w:rPr>
          <w:rFonts w:cstheme="minorHAnsi"/>
          <w:szCs w:val="18"/>
        </w:rPr>
      </w:pPr>
    </w:p>
    <w:p w:rsidRPr="00901313" w:rsidR="003C1568" w:rsidP="000F14BF" w:rsidRDefault="00445F86" w14:paraId="4A55D8FF" w14:textId="7BF4707B">
      <w:pPr>
        <w:spacing w:line="276" w:lineRule="auto"/>
        <w:jc w:val="both"/>
        <w:rPr>
          <w:rFonts w:cstheme="minorHAnsi"/>
          <w:szCs w:val="18"/>
        </w:rPr>
      </w:pPr>
      <w:r w:rsidRPr="00901313">
        <w:t xml:space="preserve">Um sicherzustellen, dass in allen Rechtsordnungen ein harmonisierter Ansatz Anwendung findet, wird in Anhang I eine </w:t>
      </w:r>
      <w:r w:rsidRPr="00901313">
        <w:rPr>
          <w:i/>
          <w:szCs w:val="18"/>
        </w:rPr>
        <w:t>Mustervorlage für die Aufträge zur Durchführung vereinbarter Prüfungshandlungen in Bezug auf Finanzinformationen</w:t>
      </w:r>
      <w:r w:rsidRPr="00901313">
        <w:t xml:space="preserve"> bereitgestellt. Diese Mustervorlage ist von den Instituten, die eine zusätzliche Zusicherung vorlegen müssen und somit einer Wirtschaftsprüferbestätigung unterliegen, zu verwenden.</w:t>
      </w:r>
      <w:r w:rsidRPr="00901313">
        <w:rPr>
          <w:b/>
          <w:szCs w:val="18"/>
        </w:rPr>
        <w:t xml:space="preserve"> Dieses Dokument ist den Berichten des Prüfers über die vereinbarten Prüfungshandlungen als Anhang I beizufügen, wobei der Meldebogen der Institute als Anhang II beizufügen ist.</w:t>
      </w:r>
    </w:p>
    <w:p w:rsidRPr="00901313" w:rsidR="003C1568" w:rsidP="000F14BF" w:rsidRDefault="003C1568" w14:paraId="7D9C58EF" w14:textId="77777777">
      <w:pPr>
        <w:spacing w:line="276" w:lineRule="auto"/>
        <w:jc w:val="both"/>
        <w:rPr>
          <w:rFonts w:cstheme="minorHAnsi"/>
          <w:szCs w:val="18"/>
        </w:rPr>
      </w:pPr>
    </w:p>
    <w:p w:rsidRPr="00901313" w:rsidR="00BD53A5" w:rsidP="000F14BF" w:rsidRDefault="00BD53A5" w14:paraId="5F2C0895" w14:textId="2B6FDDCA">
      <w:pPr>
        <w:spacing w:line="276" w:lineRule="auto"/>
        <w:jc w:val="both"/>
        <w:rPr>
          <w:rFonts w:cstheme="minorHAnsi"/>
          <w:szCs w:val="18"/>
        </w:rPr>
      </w:pPr>
      <w:r w:rsidRPr="00901313">
        <w:t>Darüber hinaus gilt Folgendes:</w:t>
      </w:r>
    </w:p>
    <w:p w:rsidRPr="00901313" w:rsidR="0024425F" w:rsidP="000F14BF" w:rsidRDefault="0024425F" w14:paraId="1E519782" w14:textId="7724FAFA">
      <w:pPr>
        <w:spacing w:line="276" w:lineRule="auto"/>
        <w:jc w:val="both"/>
        <w:rPr>
          <w:rFonts w:eastAsia="Calibri" w:cstheme="minorHAnsi"/>
          <w:szCs w:val="18"/>
        </w:rPr>
      </w:pPr>
    </w:p>
    <w:p w:rsidRPr="00901313" w:rsidR="00BD53A5" w:rsidP="004F7F73" w:rsidRDefault="00BD53A5" w14:paraId="14186EC0" w14:textId="77777777">
      <w:pPr>
        <w:numPr>
          <w:ilvl w:val="0"/>
          <w:numId w:val="3"/>
        </w:numPr>
        <w:spacing w:line="276" w:lineRule="auto"/>
        <w:jc w:val="both"/>
        <w:rPr>
          <w:rFonts w:cstheme="minorHAnsi"/>
          <w:szCs w:val="18"/>
        </w:rPr>
      </w:pPr>
      <w:r w:rsidRPr="00901313">
        <w:rPr>
          <w:b/>
          <w:szCs w:val="18"/>
        </w:rPr>
        <w:t>Unterschrift und Format:</w:t>
      </w:r>
      <w:r w:rsidRPr="00901313">
        <w:t xml:space="preserve"> Es werden digitale Dokumente und (EU) qualifizierte elektronische Signaturen akzeptiert. Die vereinbarten Prüfungshandlungen sollen im PDF-Format vorliegen.</w:t>
      </w:r>
    </w:p>
    <w:p w:rsidRPr="00901313" w:rsidR="00BD53A5" w:rsidP="004F7F73" w:rsidRDefault="00BD53A5" w14:paraId="04B747C7" w14:textId="5CF33C21">
      <w:pPr>
        <w:numPr>
          <w:ilvl w:val="0"/>
          <w:numId w:val="3"/>
        </w:numPr>
        <w:spacing w:line="276" w:lineRule="auto"/>
        <w:jc w:val="both"/>
        <w:rPr>
          <w:rFonts w:cstheme="minorHAnsi"/>
          <w:szCs w:val="18"/>
        </w:rPr>
      </w:pPr>
      <w:r w:rsidRPr="00901313">
        <w:rPr>
          <w:b/>
          <w:szCs w:val="18"/>
        </w:rPr>
        <w:lastRenderedPageBreak/>
        <w:t>Übliche Namensform:</w:t>
      </w:r>
      <w:r w:rsidRPr="00901313">
        <w:t xml:space="preserve"> Die folgende übliche Namensform ist für die vereinbarten Prüfungshandlungen zu verwenden (voraussichtlich im PDF-Format): „MFI_LEI_AUP_2023“ für den Zyklus der vereinbarten Prüfungshandlungen für 2023 oder „MFI_LEI_AUP_YEAR“ im Falle einer Anpassung.</w:t>
      </w:r>
    </w:p>
    <w:p w:rsidRPr="00901313" w:rsidR="00445F86" w:rsidP="000F14BF" w:rsidRDefault="00445F86" w14:paraId="2BF7D8EB" w14:textId="77777777">
      <w:pPr>
        <w:spacing w:line="276" w:lineRule="auto"/>
        <w:jc w:val="both"/>
        <w:rPr>
          <w:rFonts w:cstheme="minorHAnsi"/>
          <w:szCs w:val="18"/>
        </w:rPr>
      </w:pPr>
    </w:p>
    <w:p w:rsidR="00445F86" w:rsidP="000F14BF" w:rsidRDefault="00445F86" w14:paraId="5E497008" w14:textId="4C2A2739">
      <w:pPr>
        <w:spacing w:line="276" w:lineRule="auto"/>
        <w:jc w:val="both"/>
      </w:pPr>
      <w:r w:rsidRPr="00901313">
        <w:t xml:space="preserve">Die Institute sollten die Dokumente mit der zusätzlichen Zusicherung den nationalen Abwicklungsbehörden </w:t>
      </w:r>
      <w:r w:rsidRPr="00901313">
        <w:rPr>
          <w:b/>
          <w:szCs w:val="18"/>
        </w:rPr>
        <w:t>innerhalb der mit den Behörden vereinbarten Frist</w:t>
      </w:r>
      <w:r w:rsidRPr="00901313" w:rsidR="00CD2F9C">
        <w:rPr>
          <w:rStyle w:val="FootnoteReference"/>
          <w:rFonts w:cstheme="minorHAnsi"/>
          <w:szCs w:val="18"/>
        </w:rPr>
        <w:footnoteReference w:id="5"/>
      </w:r>
      <w:r w:rsidRPr="00901313">
        <w:t xml:space="preserve"> zustellen. Die nationalen Abwicklungsbehörden verwahren diese Unterlagen, sollten diese aber dem SRB auf Anfrage zur Verfügung stellen.</w:t>
      </w:r>
    </w:p>
    <w:p w:rsidR="00C14120" w:rsidP="000F14BF" w:rsidRDefault="00C14120" w14:paraId="082F9731" w14:textId="7D2F4D7A">
      <w:pPr>
        <w:spacing w:line="276" w:lineRule="auto"/>
        <w:jc w:val="both"/>
        <w:rPr>
          <w:rFonts w:cstheme="minorHAnsi"/>
          <w:szCs w:val="18"/>
        </w:rPr>
      </w:pPr>
    </w:p>
    <w:p w:rsidRPr="00901313" w:rsidR="00C14120" w:rsidP="000F14BF" w:rsidRDefault="00C14120" w14:paraId="1ABC2DD2" w14:textId="77777777">
      <w:pPr>
        <w:spacing w:line="276" w:lineRule="auto"/>
        <w:jc w:val="both"/>
        <w:rPr>
          <w:rFonts w:cstheme="minorHAnsi"/>
          <w:szCs w:val="18"/>
        </w:rPr>
      </w:pPr>
      <w:bookmarkStart w:name="_GoBack" w:id="3"/>
      <w:bookmarkEnd w:id="3"/>
    </w:p>
    <w:p w:rsidRPr="00901313" w:rsidR="00445F86" w:rsidP="00C14120" w:rsidRDefault="00445F86" w14:paraId="58BD2B02" w14:textId="3D8D2562">
      <w:pPr>
        <w:pStyle w:val="ListParagraph"/>
        <w:keepNext/>
        <w:keepLines/>
        <w:widowControl w:val="0"/>
        <w:numPr>
          <w:ilvl w:val="0"/>
          <w:numId w:val="15"/>
        </w:numPr>
        <w:spacing w:after="240"/>
        <w:ind w:left="360"/>
        <w:outlineLvl w:val="1"/>
        <w:rPr>
          <w:b/>
          <w:color w:val="005EB8"/>
          <w:sz w:val="20"/>
          <w:szCs w:val="20"/>
        </w:rPr>
      </w:pPr>
      <w:bookmarkStart w:name="_Agreed-upon_procedures" w:id="4"/>
      <w:bookmarkEnd w:id="4"/>
      <w:r w:rsidRPr="00901313">
        <w:rPr>
          <w:b/>
          <w:color w:val="005EB8"/>
          <w:sz w:val="20"/>
          <w:szCs w:val="20"/>
        </w:rPr>
        <w:t>Vereinbarte Prüfungshandlungen</w:t>
      </w:r>
    </w:p>
    <w:p w:rsidRPr="00901313" w:rsidR="00445F86" w:rsidP="00445F86" w:rsidRDefault="00445F86" w14:paraId="6C27D586" w14:textId="77777777">
      <w:pPr>
        <w:spacing w:after="200" w:line="276" w:lineRule="auto"/>
        <w:contextualSpacing/>
        <w:jc w:val="both"/>
        <w:rPr>
          <w:rFonts w:eastAsia="Calibri" w:cstheme="minorHAnsi"/>
          <w:szCs w:val="18"/>
        </w:rPr>
      </w:pPr>
      <w:r w:rsidRPr="00901313">
        <w:t>In diesem Abschnitt werden der (2.1) Geltungsbereich der vereinbarten Prüfungshandlungen, (2.2) der Prüfungsauftrag und (2.3) der Prüfungsbericht erläutert.</w:t>
      </w:r>
    </w:p>
    <w:p w:rsidRPr="00901313" w:rsidR="00445F86" w:rsidP="00445F86" w:rsidRDefault="00445F86" w14:paraId="4F3761CD" w14:textId="77777777">
      <w:pPr>
        <w:spacing w:after="200" w:line="276" w:lineRule="auto"/>
        <w:contextualSpacing/>
        <w:jc w:val="both"/>
        <w:rPr>
          <w:rFonts w:eastAsia="Calibri" w:cstheme="minorHAnsi"/>
          <w:szCs w:val="18"/>
        </w:rPr>
      </w:pPr>
    </w:p>
    <w:p w:rsidRPr="00901313" w:rsidR="00445F86" w:rsidP="004F7F73" w:rsidRDefault="00445F86" w14:paraId="1AAFD383" w14:textId="77777777">
      <w:pPr>
        <w:keepNext/>
        <w:numPr>
          <w:ilvl w:val="1"/>
          <w:numId w:val="5"/>
        </w:numPr>
        <w:spacing w:after="200" w:line="276" w:lineRule="auto"/>
        <w:contextualSpacing/>
        <w:jc w:val="both"/>
        <w:rPr>
          <w:b/>
          <w:color w:val="005EB8"/>
          <w:sz w:val="20"/>
          <w:szCs w:val="20"/>
        </w:rPr>
      </w:pPr>
      <w:r w:rsidRPr="00901313">
        <w:rPr>
          <w:b/>
          <w:color w:val="005EB8"/>
          <w:sz w:val="20"/>
          <w:szCs w:val="20"/>
        </w:rPr>
        <w:t>Geltungsbereich der vereinbarten Prüfungshandlungen</w:t>
      </w:r>
    </w:p>
    <w:p w:rsidRPr="00901313" w:rsidR="00445F86" w:rsidP="008A1AA4" w:rsidRDefault="00445F86" w14:paraId="6651FA7D" w14:textId="77777777">
      <w:pPr>
        <w:keepNext/>
        <w:spacing w:after="200" w:line="276" w:lineRule="auto"/>
        <w:contextualSpacing/>
        <w:jc w:val="both"/>
        <w:rPr>
          <w:rFonts w:eastAsia="Calibri" w:cstheme="minorHAnsi"/>
          <w:b/>
          <w:szCs w:val="18"/>
        </w:rPr>
      </w:pPr>
    </w:p>
    <w:p w:rsidRPr="00901313" w:rsidR="00445F86" w:rsidP="00445F86" w:rsidRDefault="00445F86" w14:paraId="72038C90" w14:textId="6B8C27BA">
      <w:pPr>
        <w:spacing w:after="200" w:line="276" w:lineRule="auto"/>
        <w:contextualSpacing/>
        <w:jc w:val="both"/>
        <w:rPr>
          <w:rFonts w:eastAsia="Calibri" w:cstheme="minorHAnsi"/>
          <w:szCs w:val="18"/>
        </w:rPr>
      </w:pPr>
      <w:r w:rsidRPr="00901313">
        <w:t xml:space="preserve">In </w:t>
      </w:r>
      <w:r w:rsidRPr="00901313">
        <w:rPr>
          <w:b/>
          <w:szCs w:val="18"/>
        </w:rPr>
        <w:t>Anhang I</w:t>
      </w:r>
      <w:r w:rsidRPr="00901313">
        <w:t xml:space="preserve"> ist der Geltungsbereich der vereinbarten Prüfungshandlungen festgelegt. Die Prüfungshandlungen sind von einem externen Prüfer vorzunehmen.</w:t>
      </w:r>
    </w:p>
    <w:p w:rsidRPr="00901313" w:rsidR="00445F86" w:rsidP="00445F86" w:rsidRDefault="00445F86" w14:paraId="0D345385" w14:textId="77777777">
      <w:pPr>
        <w:spacing w:after="200" w:line="276" w:lineRule="auto"/>
        <w:contextualSpacing/>
        <w:jc w:val="both"/>
        <w:rPr>
          <w:rFonts w:eastAsia="Calibri" w:cstheme="minorHAnsi"/>
          <w:szCs w:val="18"/>
        </w:rPr>
      </w:pPr>
    </w:p>
    <w:p w:rsidRPr="00901313" w:rsidR="00445F86" w:rsidP="00445F86" w:rsidRDefault="00445F86" w14:paraId="2B74DBAD" w14:textId="7ADCECF3">
      <w:pPr>
        <w:spacing w:after="200" w:line="276" w:lineRule="auto"/>
        <w:contextualSpacing/>
        <w:jc w:val="both"/>
        <w:rPr>
          <w:rFonts w:eastAsia="Calibri" w:cstheme="minorHAnsi"/>
          <w:szCs w:val="18"/>
        </w:rPr>
      </w:pPr>
      <w:r w:rsidRPr="00901313">
        <w:t>Die nationalen Abwicklungsbehörden können beschließen, einige der Prüfungshandlungen aufgrund der Besonderheiten ihrer Rechtsordnung anzupassen oder zu erweitern.</w:t>
      </w:r>
    </w:p>
    <w:p w:rsidRPr="00901313" w:rsidR="00445F86" w:rsidP="00445F86" w:rsidRDefault="00445F86" w14:paraId="3D1C44D4" w14:textId="77777777">
      <w:pPr>
        <w:spacing w:after="200" w:line="276" w:lineRule="auto"/>
        <w:contextualSpacing/>
        <w:jc w:val="both"/>
        <w:rPr>
          <w:rFonts w:eastAsia="Calibri" w:cstheme="minorHAnsi"/>
          <w:szCs w:val="18"/>
        </w:rPr>
      </w:pPr>
    </w:p>
    <w:p w:rsidRPr="00901313" w:rsidR="00445F86" w:rsidP="00445F86" w:rsidRDefault="00445F86" w14:paraId="00894FB6" w14:textId="77777777">
      <w:pPr>
        <w:spacing w:after="200" w:line="276" w:lineRule="auto"/>
        <w:contextualSpacing/>
        <w:jc w:val="both"/>
        <w:rPr>
          <w:rFonts w:eastAsia="Calibri" w:cstheme="minorHAnsi"/>
          <w:szCs w:val="18"/>
        </w:rPr>
      </w:pPr>
      <w:r w:rsidRPr="00901313">
        <w:t>Solche Anpassungen durch die nationale Abwicklungsbehörde könnten unter anderem Folgendes umfassen:</w:t>
      </w:r>
    </w:p>
    <w:p w:rsidRPr="00901313" w:rsidR="00445F86" w:rsidP="00445F86" w:rsidRDefault="00445F86" w14:paraId="2EC3B2AA" w14:textId="77777777">
      <w:pPr>
        <w:spacing w:after="200" w:line="276" w:lineRule="auto"/>
        <w:contextualSpacing/>
        <w:jc w:val="both"/>
        <w:rPr>
          <w:rFonts w:eastAsia="Calibri" w:cstheme="minorHAnsi"/>
          <w:szCs w:val="18"/>
        </w:rPr>
      </w:pPr>
    </w:p>
    <w:p w:rsidRPr="00901313" w:rsidR="00445F86" w:rsidP="004F7F73" w:rsidRDefault="00445F86" w14:paraId="24A9EA6B" w14:textId="087B1327">
      <w:pPr>
        <w:numPr>
          <w:ilvl w:val="0"/>
          <w:numId w:val="4"/>
        </w:numPr>
        <w:spacing w:line="240" w:lineRule="auto"/>
        <w:ind w:left="714" w:hanging="357"/>
        <w:jc w:val="both"/>
        <w:rPr>
          <w:rFonts w:cstheme="minorHAnsi"/>
          <w:szCs w:val="18"/>
        </w:rPr>
      </w:pPr>
      <w:r w:rsidRPr="00901313">
        <w:t>Wenn in der Rechtsordnung keine institutsbezogenen Sicherungssysteme (IPS) vorgesehen sind, kann die nationale Abwicklungsbehörde beschließen, das Verfahren 5 aus den vereinbarten Prüfungshandlungen auszunehmen.</w:t>
      </w:r>
    </w:p>
    <w:p w:rsidRPr="00901313" w:rsidR="00445F86" w:rsidP="00445F86" w:rsidRDefault="00445F86" w14:paraId="2592D4DD" w14:textId="77777777">
      <w:pPr>
        <w:ind w:left="714"/>
        <w:jc w:val="both"/>
        <w:rPr>
          <w:rFonts w:cstheme="minorHAnsi"/>
          <w:szCs w:val="18"/>
        </w:rPr>
      </w:pPr>
    </w:p>
    <w:p w:rsidRPr="00901313" w:rsidR="00445F86" w:rsidP="004F7F73" w:rsidRDefault="00445F86" w14:paraId="0CFCF725" w14:textId="749A6FCB">
      <w:pPr>
        <w:numPr>
          <w:ilvl w:val="0"/>
          <w:numId w:val="4"/>
        </w:numPr>
        <w:spacing w:after="200" w:line="276" w:lineRule="auto"/>
        <w:contextualSpacing/>
        <w:jc w:val="both"/>
        <w:rPr>
          <w:rFonts w:eastAsia="Calibri" w:cstheme="minorHAnsi"/>
          <w:szCs w:val="18"/>
        </w:rPr>
      </w:pPr>
      <w:r w:rsidRPr="00901313">
        <w:t>Wenn nach der Rechtsordnung Derivate in der Bilanz ausgewiesen werden müssen, kann die nationale Abwicklungsbehörde im Rahmen von „Verfahren 3: Anpassungen für derivative Finanzinstrumente“ den Verweis auf „2C3“ streichen und stattdessen die folgende Prüfungshandlung aufnehmen: „Vergewissern Sie sich, dass das Feld „2C3“ gleich 0 ist.“.</w:t>
      </w:r>
    </w:p>
    <w:p w:rsidRPr="00901313" w:rsidR="00445F86" w:rsidP="00445F86" w:rsidRDefault="00445F86" w14:paraId="5FA201E5" w14:textId="77777777">
      <w:pPr>
        <w:spacing w:after="200" w:line="276" w:lineRule="auto"/>
        <w:ind w:left="720"/>
        <w:contextualSpacing/>
        <w:jc w:val="both"/>
        <w:rPr>
          <w:rFonts w:eastAsia="Calibri" w:cstheme="minorHAnsi"/>
          <w:szCs w:val="18"/>
        </w:rPr>
      </w:pPr>
    </w:p>
    <w:p w:rsidRPr="00901313" w:rsidR="00445F86" w:rsidP="004F7F73" w:rsidRDefault="00445F86" w14:paraId="652FA045" w14:textId="3BAE502F">
      <w:pPr>
        <w:numPr>
          <w:ilvl w:val="0"/>
          <w:numId w:val="4"/>
        </w:numPr>
        <w:spacing w:after="200" w:line="276" w:lineRule="auto"/>
        <w:contextualSpacing/>
        <w:jc w:val="both"/>
        <w:rPr>
          <w:rFonts w:eastAsia="Calibri" w:cstheme="minorHAnsi"/>
          <w:szCs w:val="18"/>
        </w:rPr>
      </w:pPr>
      <w:r w:rsidRPr="00901313">
        <w:t>Aufgrund unterschiedlicher Rechtsordnungen hat die SRB keine „zugrunde liegenden Unterlagen“ angegeben, die im Zuge der Prüfungshandlungen zu verwenden sind. Daher können die nationalen Abwicklungsbehörden „zugrunde liegende Unterlagen“ durch den am besten geeigneten Verweis ersetzen, z. B. Jahresabschluss, Bilanz, Nebenbuch für Derivate usw.</w:t>
      </w:r>
    </w:p>
    <w:p w:rsidRPr="00901313" w:rsidR="00445F86" w:rsidP="00445F86" w:rsidRDefault="00445F86" w14:paraId="6F2452C7" w14:textId="77777777">
      <w:pPr>
        <w:spacing w:after="200" w:line="276" w:lineRule="auto"/>
        <w:ind w:left="720"/>
        <w:contextualSpacing/>
        <w:jc w:val="both"/>
        <w:rPr>
          <w:rFonts w:eastAsia="Calibri" w:cstheme="minorHAnsi"/>
          <w:szCs w:val="18"/>
        </w:rPr>
      </w:pPr>
    </w:p>
    <w:p w:rsidRPr="00901313" w:rsidR="00445F86" w:rsidP="00445F86" w:rsidRDefault="00445F86" w14:paraId="5F8882B8" w14:textId="77777777">
      <w:pPr>
        <w:spacing w:after="200" w:line="276" w:lineRule="auto"/>
        <w:contextualSpacing/>
        <w:jc w:val="both"/>
        <w:rPr>
          <w:rFonts w:eastAsia="Calibri" w:cstheme="minorHAnsi"/>
          <w:szCs w:val="18"/>
        </w:rPr>
      </w:pPr>
      <w:r w:rsidRPr="00901313">
        <w:t>Die nationalen Abwicklungsbehörden können den Geltungsbereich der vereinbarten Prüfungshandlungen weiter ausdehnen, wodurch auch Verfahren in Bezug auf andere Abzüge einbezogen werden können: Höhe der qualifizierten Verbindlichkeiten im Zusammenhang mit Clearing-Aktivitäten, der Zentralverwahrung von Wertpapieren und der Verbindlichkeiten aus der Verwaltung von Kundenvermögen oder Kundengeldern.</w:t>
      </w:r>
    </w:p>
    <w:p w:rsidRPr="00901313" w:rsidR="00445F86" w:rsidP="00445F86" w:rsidRDefault="00445F86" w14:paraId="130BB260" w14:textId="77777777">
      <w:pPr>
        <w:spacing w:after="200" w:line="276" w:lineRule="auto"/>
        <w:contextualSpacing/>
        <w:jc w:val="both"/>
        <w:rPr>
          <w:rFonts w:eastAsia="Calibri" w:cstheme="minorHAnsi"/>
          <w:szCs w:val="18"/>
        </w:rPr>
      </w:pPr>
    </w:p>
    <w:p w:rsidRPr="00901313" w:rsidR="00445F86" w:rsidP="00445F86" w:rsidRDefault="00445F86" w14:paraId="42C6C512" w14:textId="360DF7CB">
      <w:pPr>
        <w:spacing w:after="200" w:line="276" w:lineRule="auto"/>
        <w:contextualSpacing/>
        <w:jc w:val="both"/>
        <w:rPr>
          <w:rFonts w:eastAsia="Calibri" w:cstheme="minorHAnsi"/>
          <w:szCs w:val="18"/>
        </w:rPr>
      </w:pPr>
      <w:r w:rsidRPr="00901313">
        <w:t>Die nationalen Abwicklungsbehörden geben in der jährlichen Übersicht für den SRB an, wenn die Mustervorlage geändert wurde.</w:t>
      </w:r>
    </w:p>
    <w:p w:rsidRPr="00901313" w:rsidR="00445F86" w:rsidP="004F7F73" w:rsidRDefault="00445F86" w14:paraId="685E14A6" w14:textId="5303C71F">
      <w:pPr>
        <w:keepNext/>
        <w:pageBreakBefore/>
        <w:numPr>
          <w:ilvl w:val="1"/>
          <w:numId w:val="5"/>
        </w:numPr>
        <w:spacing w:after="200" w:line="276" w:lineRule="auto"/>
        <w:contextualSpacing/>
        <w:jc w:val="both"/>
        <w:rPr>
          <w:rFonts w:eastAsia="Calibri" w:cstheme="minorHAnsi"/>
          <w:i/>
          <w:szCs w:val="18"/>
        </w:rPr>
      </w:pPr>
      <w:r w:rsidRPr="00901313">
        <w:rPr>
          <w:b/>
          <w:color w:val="005EB8"/>
          <w:sz w:val="20"/>
          <w:szCs w:val="20"/>
        </w:rPr>
        <w:lastRenderedPageBreak/>
        <w:t>Prüfungsauftrag</w:t>
      </w:r>
    </w:p>
    <w:p w:rsidRPr="00901313" w:rsidR="00445F86" w:rsidP="00445F86" w:rsidRDefault="00445F86" w14:paraId="7C4B0A21" w14:textId="77777777">
      <w:pPr>
        <w:spacing w:after="200" w:line="276" w:lineRule="auto"/>
        <w:contextualSpacing/>
        <w:jc w:val="both"/>
        <w:rPr>
          <w:rFonts w:eastAsia="Calibri" w:cstheme="minorHAnsi"/>
          <w:b/>
          <w:szCs w:val="18"/>
        </w:rPr>
      </w:pPr>
    </w:p>
    <w:p w:rsidRPr="00901313" w:rsidR="00445F86" w:rsidP="00445F86" w:rsidRDefault="00445F86" w14:paraId="65D08E6B" w14:textId="77777777">
      <w:pPr>
        <w:spacing w:after="200" w:line="276" w:lineRule="auto"/>
        <w:contextualSpacing/>
        <w:jc w:val="both"/>
        <w:rPr>
          <w:rFonts w:eastAsia="Calibri" w:cstheme="minorHAnsi"/>
          <w:szCs w:val="18"/>
        </w:rPr>
      </w:pPr>
      <w:r w:rsidRPr="00901313">
        <w:t>Das Institut erteilt dem Prüfer einen Prüfungsauftrag, in dem alle vom Prüfer durchzuführenden Prüfungshandlungen aufgeführt werden (siehe Abschnitt 2.1) und vereinbart wird, dass der Prüfungsbericht (siehe Abschnitt 2.3) nur relevanten Dritten (in diesem Fall dem SRB und der zuständigen nationalen Abwicklungsbehörde) übermittelt wird.</w:t>
      </w:r>
    </w:p>
    <w:p w:rsidRPr="00901313" w:rsidR="00445F86" w:rsidP="00445F86" w:rsidRDefault="00445F86" w14:paraId="0CF49796" w14:textId="77777777">
      <w:pPr>
        <w:spacing w:after="200" w:line="276" w:lineRule="auto"/>
        <w:contextualSpacing/>
        <w:jc w:val="both"/>
        <w:rPr>
          <w:rFonts w:eastAsia="Calibri" w:cstheme="minorHAnsi"/>
          <w:szCs w:val="18"/>
        </w:rPr>
      </w:pPr>
    </w:p>
    <w:p w:rsidRPr="00901313" w:rsidR="00445F86" w:rsidP="00445F86" w:rsidRDefault="00445F86" w14:paraId="1E67FA82" w14:textId="63BFBA87">
      <w:pPr>
        <w:spacing w:after="200" w:line="276" w:lineRule="auto"/>
        <w:contextualSpacing/>
        <w:jc w:val="both"/>
        <w:rPr>
          <w:rFonts w:eastAsia="Calibri" w:cstheme="minorHAnsi"/>
          <w:szCs w:val="18"/>
        </w:rPr>
      </w:pPr>
      <w:r w:rsidRPr="00901313">
        <w:t xml:space="preserve">Der SRB hat keine Mustervorlage für den Prüfungsauftrag erstellt, der zwischen dem Institut und dem Prüfer zu unterzeichnen ist. Es wird jedoch davon ausgegangen, dass der Prüfer und das Institut dem in </w:t>
      </w:r>
      <w:r w:rsidRPr="00901313">
        <w:rPr>
          <w:i/>
          <w:szCs w:val="18"/>
        </w:rPr>
        <w:t>Anhang 1 der internationalen (revidierten) Norm „ISRS 4400: Aufträge zur Durchführung vereinbarter Untersuchungshandlungen bezüglich Finanzinformationen“</w:t>
      </w:r>
      <w:r w:rsidRPr="00901313">
        <w:t xml:space="preserve"> dargestellten Beispiel folgen.</w:t>
      </w:r>
    </w:p>
    <w:p w:rsidRPr="00901313" w:rsidR="00445F86" w:rsidP="00445F86" w:rsidRDefault="00445F86" w14:paraId="16021CBA" w14:textId="77777777">
      <w:pPr>
        <w:spacing w:after="200" w:line="276" w:lineRule="auto"/>
        <w:contextualSpacing/>
        <w:jc w:val="both"/>
        <w:rPr>
          <w:b/>
          <w:color w:val="005EB8"/>
          <w:sz w:val="20"/>
          <w:szCs w:val="20"/>
        </w:rPr>
      </w:pPr>
    </w:p>
    <w:p w:rsidRPr="00901313" w:rsidR="00445F86" w:rsidP="004F7F73" w:rsidRDefault="00445F86" w14:paraId="6A14DAB1" w14:textId="5834ABE7">
      <w:pPr>
        <w:keepNext/>
        <w:numPr>
          <w:ilvl w:val="1"/>
          <w:numId w:val="5"/>
        </w:numPr>
        <w:spacing w:after="200" w:line="276" w:lineRule="auto"/>
        <w:contextualSpacing/>
        <w:jc w:val="both"/>
        <w:rPr>
          <w:b/>
          <w:color w:val="005EB8"/>
          <w:sz w:val="20"/>
          <w:szCs w:val="20"/>
        </w:rPr>
      </w:pPr>
      <w:r w:rsidRPr="00901313">
        <w:rPr>
          <w:b/>
          <w:color w:val="005EB8"/>
          <w:sz w:val="20"/>
          <w:szCs w:val="20"/>
        </w:rPr>
        <w:t>Prüfungsbericht</w:t>
      </w:r>
    </w:p>
    <w:p w:rsidRPr="00901313" w:rsidR="00445F86" w:rsidP="00445F86" w:rsidRDefault="00445F86" w14:paraId="3D16B14F" w14:textId="77777777">
      <w:pPr>
        <w:spacing w:after="200" w:line="276" w:lineRule="auto"/>
        <w:contextualSpacing/>
        <w:jc w:val="both"/>
        <w:rPr>
          <w:rFonts w:eastAsia="Calibri" w:cstheme="minorHAnsi"/>
          <w:b/>
          <w:szCs w:val="18"/>
        </w:rPr>
      </w:pPr>
    </w:p>
    <w:p w:rsidRPr="00901313" w:rsidR="00445F86" w:rsidP="00445F86" w:rsidRDefault="00445F86" w14:paraId="2A9D0AF4" w14:textId="4D63A994">
      <w:pPr>
        <w:spacing w:after="200" w:line="276" w:lineRule="auto"/>
        <w:contextualSpacing/>
        <w:jc w:val="both"/>
        <w:rPr>
          <w:rFonts w:eastAsia="Calibri" w:cstheme="minorHAnsi"/>
          <w:szCs w:val="18"/>
        </w:rPr>
      </w:pPr>
      <w:r w:rsidRPr="00901313">
        <w:t>Der Prüfungsbericht ist das Ergebnis der vereinbarten Prüfungshandlungen und beschreibt dem Leser in hinreichender Weise Art und Umfang der geleisteten Arbeit.</w:t>
      </w:r>
    </w:p>
    <w:p w:rsidRPr="00901313" w:rsidR="00445F86" w:rsidP="00445F86" w:rsidRDefault="00445F86" w14:paraId="65B9F1A7" w14:textId="77777777">
      <w:pPr>
        <w:spacing w:after="200" w:line="276" w:lineRule="auto"/>
        <w:contextualSpacing/>
        <w:jc w:val="both"/>
        <w:rPr>
          <w:rFonts w:eastAsia="Calibri" w:cstheme="minorHAnsi"/>
          <w:szCs w:val="18"/>
        </w:rPr>
      </w:pPr>
    </w:p>
    <w:p w:rsidRPr="00901313" w:rsidR="00445F86" w:rsidP="00445F86" w:rsidRDefault="00445F86" w14:paraId="29788AA8" w14:textId="036D791F">
      <w:pPr>
        <w:spacing w:after="200" w:line="276" w:lineRule="auto"/>
        <w:contextualSpacing/>
        <w:jc w:val="both"/>
        <w:rPr>
          <w:rFonts w:eastAsia="Calibri" w:cstheme="minorHAnsi"/>
          <w:szCs w:val="18"/>
        </w:rPr>
      </w:pPr>
      <w:r w:rsidRPr="00901313">
        <w:t xml:space="preserve">Der SRB hat keine Mustervorlage für den vom Prüfer zu erstellenden Prüfungsbericht erstellt, sondern in Anhang II eine Liste von Mindestanforderungen für den Bericht auf der Grundlage des in </w:t>
      </w:r>
      <w:r w:rsidRPr="00901313">
        <w:rPr>
          <w:i/>
          <w:szCs w:val="18"/>
        </w:rPr>
        <w:t>Anhang 2 der internationalen (revidierten) Norm „ISRS 4400: Aufträge zur Durchführung vereinbarter Untersuchungshandlungen bezüglich Finanzinformationen“</w:t>
      </w:r>
      <w:r w:rsidRPr="00901313">
        <w:t xml:space="preserve"> dargestellten Beispiel aufgenommen.</w:t>
      </w:r>
      <w:bookmarkStart w:name="_Sign-off" w:id="5"/>
      <w:bookmarkEnd w:id="5"/>
    </w:p>
    <w:p w:rsidRPr="00901313" w:rsidR="00445F86" w:rsidP="00445F86" w:rsidRDefault="00445F86" w14:paraId="106C1398" w14:textId="77777777">
      <w:pPr>
        <w:rPr>
          <w:rFonts w:cstheme="minorHAnsi"/>
          <w:szCs w:val="18"/>
          <w:highlight w:val="yellow"/>
        </w:rPr>
      </w:pPr>
    </w:p>
    <w:p w:rsidRPr="00901313" w:rsidR="00445F86" w:rsidP="008A1AA4" w:rsidRDefault="00445F86" w14:paraId="1830CE05" w14:textId="6B0F869F">
      <w:pPr>
        <w:pageBreakBefore/>
        <w:spacing w:after="200" w:line="276" w:lineRule="auto"/>
        <w:contextualSpacing/>
        <w:jc w:val="both"/>
        <w:rPr>
          <w:b/>
          <w:color w:val="005EB8"/>
          <w:sz w:val="28"/>
          <w:szCs w:val="58"/>
        </w:rPr>
      </w:pPr>
      <w:bookmarkStart w:name="_3._Sign-off" w:id="6"/>
      <w:bookmarkEnd w:id="6"/>
      <w:r w:rsidRPr="00901313">
        <w:rPr>
          <w:b/>
          <w:color w:val="005EB8"/>
          <w:sz w:val="28"/>
          <w:szCs w:val="58"/>
        </w:rPr>
        <w:lastRenderedPageBreak/>
        <w:t>ANHANG I – Durchgeführte Prüfungshandlungen und Beschreibung der Feststellungen</w:t>
      </w:r>
    </w:p>
    <w:p w:rsidRPr="00901313" w:rsidR="00445F86" w:rsidP="00445F86" w:rsidRDefault="008923C2" w14:paraId="235C465F" w14:textId="44D51884">
      <w:pPr>
        <w:pStyle w:val="BodyText"/>
        <w:rPr>
          <w:rFonts w:asciiTheme="minorHAnsi" w:hAnsiTheme="minorHAnsi" w:cstheme="minorHAnsi"/>
          <w:i/>
        </w:rPr>
      </w:pPr>
      <w:r w:rsidRPr="00901313">
        <w:rPr>
          <w:rFonts w:asciiTheme="minorHAnsi" w:hAnsiTheme="minorHAnsi"/>
          <w:i/>
        </w:rPr>
        <w:t>Dieser Anhang I ist den vereinbarten Prüfungshandlungen des Prüfers in der unten beschriebenen Form beizufügen (siehe Prüfungshandlungen 1 bis 7).</w:t>
      </w:r>
    </w:p>
    <w:p w:rsidRPr="00901313" w:rsidR="00BF1F10" w:rsidP="00FD7098" w:rsidRDefault="00BF1F10" w14:paraId="2FC9F8D8" w14:textId="19CC5263">
      <w:pPr>
        <w:pStyle w:val="Heading2"/>
        <w:rPr>
          <w:b/>
        </w:rPr>
      </w:pPr>
      <w:r w:rsidRPr="00901313">
        <w:rPr>
          <w:b/>
        </w:rPr>
        <w:t>Betreffender Beitragszyklus:</w:t>
      </w:r>
    </w:p>
    <w:p w:rsidRPr="00901313" w:rsidR="00F130DA" w:rsidP="00205F80" w:rsidRDefault="00F130DA" w14:paraId="3BF4C421" w14:textId="77777777"/>
    <w:p w:rsidRPr="00901313" w:rsidR="00BF1F10" w:rsidP="004F7F73" w:rsidRDefault="00FD7098" w14:paraId="2B583000" w14:textId="4E815550">
      <w:pPr>
        <w:pStyle w:val="BodyText"/>
        <w:numPr>
          <w:ilvl w:val="0"/>
          <w:numId w:val="16"/>
        </w:numPr>
        <w:ind w:left="360"/>
        <w:rPr>
          <w:rFonts w:eastAsia="Calibri" w:asciiTheme="minorHAnsi" w:hAnsiTheme="minorHAnsi" w:cstheme="minorHAnsi"/>
          <w:snapToGrid/>
          <w:sz w:val="18"/>
          <w:szCs w:val="18"/>
        </w:rPr>
      </w:pPr>
      <w:r w:rsidRPr="00901313">
        <w:rPr>
          <w:rFonts w:asciiTheme="minorHAnsi" w:hAnsiTheme="minorHAnsi"/>
          <w:snapToGrid/>
          <w:sz w:val="18"/>
          <w:szCs w:val="18"/>
        </w:rPr>
        <w:t>Im Voraus erhobene Beiträge für den Zyklus 2023</w:t>
      </w:r>
    </w:p>
    <w:p w:rsidRPr="00901313" w:rsidR="00445F86" w:rsidP="00205F80" w:rsidRDefault="00FD7098" w14:paraId="260478F7" w14:textId="52B2C47D">
      <w:pPr>
        <w:pStyle w:val="Heading2"/>
        <w:rPr>
          <w:b/>
        </w:rPr>
      </w:pPr>
      <w:r w:rsidRPr="00901313">
        <w:rPr>
          <w:b/>
        </w:rPr>
        <w:t>Bei Anpassungen bitte den betreffenden Beitragszyklus auswählen:</w:t>
      </w:r>
    </w:p>
    <w:p w:rsidRPr="00901313" w:rsidR="00205E0A" w:rsidP="004F7F73" w:rsidRDefault="00205E0A" w14:paraId="0DA4397F" w14:textId="7466C66A">
      <w:pPr>
        <w:pStyle w:val="ListParagraph"/>
        <w:numPr>
          <w:ilvl w:val="0"/>
          <w:numId w:val="17"/>
        </w:numPr>
        <w:spacing w:after="200" w:line="276" w:lineRule="auto"/>
        <w:ind w:left="360"/>
        <w:rPr>
          <w:rFonts w:eastAsia="Calibri" w:cstheme="minorHAnsi"/>
          <w:szCs w:val="18"/>
        </w:rPr>
      </w:pPr>
      <w:r w:rsidRPr="00901313">
        <w:t>Im Voraus erhobene Beiträge für den Zyklus 2022</w:t>
      </w:r>
    </w:p>
    <w:p w:rsidRPr="00901313" w:rsidR="00FD7098" w:rsidP="004F7F73" w:rsidRDefault="00FD7098" w14:paraId="51BFEC5F" w14:textId="08EAD080">
      <w:pPr>
        <w:pStyle w:val="ListParagraph"/>
        <w:numPr>
          <w:ilvl w:val="0"/>
          <w:numId w:val="17"/>
        </w:numPr>
        <w:spacing w:after="200" w:line="276" w:lineRule="auto"/>
        <w:ind w:left="360"/>
        <w:rPr>
          <w:rFonts w:eastAsia="Calibri" w:cstheme="minorHAnsi"/>
          <w:szCs w:val="18"/>
        </w:rPr>
      </w:pPr>
      <w:r w:rsidRPr="00901313">
        <w:t>Im Voraus erhobene Beiträge für den Zyklus 2021</w:t>
      </w:r>
    </w:p>
    <w:p w:rsidRPr="00901313" w:rsidR="00FD7098" w:rsidP="004F7F73" w:rsidRDefault="00FD7098" w14:paraId="66583493" w14:textId="39DE2A14">
      <w:pPr>
        <w:pStyle w:val="ListParagraph"/>
        <w:numPr>
          <w:ilvl w:val="0"/>
          <w:numId w:val="17"/>
        </w:numPr>
        <w:spacing w:after="200" w:line="276" w:lineRule="auto"/>
        <w:ind w:left="360"/>
        <w:rPr>
          <w:rFonts w:eastAsia="Calibri" w:cstheme="minorHAnsi"/>
          <w:szCs w:val="18"/>
        </w:rPr>
      </w:pPr>
      <w:r w:rsidRPr="00901313">
        <w:t>Im Voraus erhobene Beiträge für den Zyklus 2020</w:t>
      </w:r>
    </w:p>
    <w:p w:rsidRPr="00901313" w:rsidR="00FD7098" w:rsidP="004F7F73" w:rsidRDefault="00FD7098" w14:paraId="381D7940" w14:textId="4E5EDC8D">
      <w:pPr>
        <w:pStyle w:val="ListParagraph"/>
        <w:numPr>
          <w:ilvl w:val="0"/>
          <w:numId w:val="17"/>
        </w:numPr>
        <w:spacing w:after="200" w:line="276" w:lineRule="auto"/>
        <w:ind w:left="360"/>
        <w:rPr>
          <w:rFonts w:eastAsia="Calibri" w:cstheme="minorHAnsi"/>
          <w:szCs w:val="18"/>
        </w:rPr>
      </w:pPr>
      <w:r w:rsidRPr="00901313">
        <w:t>Im Voraus erhobene Beiträge für den Zyklus 2019</w:t>
      </w:r>
    </w:p>
    <w:p w:rsidRPr="00901313" w:rsidR="00FD7098" w:rsidP="004F7F73" w:rsidRDefault="00FD7098" w14:paraId="2DC3105E" w14:textId="2921B5D0">
      <w:pPr>
        <w:pStyle w:val="ListParagraph"/>
        <w:numPr>
          <w:ilvl w:val="0"/>
          <w:numId w:val="17"/>
        </w:numPr>
        <w:spacing w:after="200" w:line="276" w:lineRule="auto"/>
        <w:ind w:left="360"/>
        <w:rPr>
          <w:rFonts w:eastAsia="Calibri" w:cstheme="minorHAnsi"/>
          <w:szCs w:val="18"/>
        </w:rPr>
      </w:pPr>
      <w:r w:rsidRPr="00901313">
        <w:t>Im Voraus erhobene Beiträge für den Zyklus 2018</w:t>
      </w:r>
    </w:p>
    <w:p w:rsidRPr="00901313" w:rsidR="00FD7098" w:rsidP="004F7F73" w:rsidRDefault="00FD7098" w14:paraId="4F2AB805" w14:textId="74AAE492">
      <w:pPr>
        <w:pStyle w:val="ListParagraph"/>
        <w:numPr>
          <w:ilvl w:val="0"/>
          <w:numId w:val="17"/>
        </w:numPr>
        <w:spacing w:after="200" w:line="276" w:lineRule="auto"/>
        <w:ind w:left="360"/>
        <w:rPr>
          <w:rFonts w:eastAsia="Calibri" w:cstheme="minorHAnsi"/>
          <w:szCs w:val="18"/>
        </w:rPr>
      </w:pPr>
      <w:r w:rsidRPr="00901313">
        <w:t>Im Voraus erhobene Beiträge für den Zyklus 2017</w:t>
      </w:r>
    </w:p>
    <w:p w:rsidRPr="00901313" w:rsidR="00FD7098" w:rsidP="004F7F73" w:rsidRDefault="00FD7098" w14:paraId="38A91CA7" w14:textId="36790082">
      <w:pPr>
        <w:pStyle w:val="ListParagraph"/>
        <w:numPr>
          <w:ilvl w:val="0"/>
          <w:numId w:val="17"/>
        </w:numPr>
        <w:spacing w:after="200" w:line="276" w:lineRule="auto"/>
        <w:ind w:left="360"/>
        <w:rPr>
          <w:rFonts w:eastAsia="Calibri" w:cstheme="minorHAnsi"/>
          <w:szCs w:val="18"/>
        </w:rPr>
      </w:pPr>
      <w:r w:rsidRPr="00901313">
        <w:t>Im Voraus erhobene Beiträge für den Zyklus 2016</w:t>
      </w:r>
    </w:p>
    <w:p w:rsidRPr="00901313" w:rsidR="00445F86" w:rsidP="008A1AA4" w:rsidRDefault="00445F86" w14:paraId="0C6E0A29" w14:textId="024ECF47">
      <w:pPr>
        <w:pStyle w:val="Heading2"/>
        <w:keepNext/>
        <w:rPr>
          <w:b/>
          <w:sz w:val="18"/>
          <w:szCs w:val="18"/>
        </w:rPr>
      </w:pPr>
      <w:r w:rsidRPr="00901313">
        <w:rPr>
          <w:b/>
        </w:rPr>
        <w:t>Prüfungshandlungen zu 1: Allgemeine Tätigkeiten</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3828"/>
        <w:gridCol w:w="1275"/>
        <w:gridCol w:w="3402"/>
      </w:tblGrid>
      <w:tr w:rsidRPr="00901313" w:rsidR="00445F86" w:rsidTr="00A526B2" w14:paraId="1BFBD009" w14:textId="77777777">
        <w:trPr>
          <w:trHeight w:val="546"/>
        </w:trPr>
        <w:tc>
          <w:tcPr>
            <w:tcW w:w="675" w:type="dxa"/>
            <w:shd w:val="clear" w:color="auto" w:fill="auto"/>
          </w:tcPr>
          <w:p w:rsidRPr="00901313" w:rsidR="00445F86" w:rsidP="008A1AA4" w:rsidRDefault="00445F86" w14:paraId="74888289" w14:textId="77777777">
            <w:pPr>
              <w:keepNext/>
              <w:rPr>
                <w:rFonts w:eastAsia="Calibri" w:cstheme="minorHAnsi"/>
                <w:b/>
                <w:szCs w:val="18"/>
              </w:rPr>
            </w:pPr>
            <w:r w:rsidRPr="00901313">
              <w:rPr>
                <w:b/>
                <w:szCs w:val="18"/>
              </w:rPr>
              <w:t>#</w:t>
            </w:r>
          </w:p>
        </w:tc>
        <w:tc>
          <w:tcPr>
            <w:tcW w:w="3828" w:type="dxa"/>
            <w:shd w:val="clear" w:color="auto" w:fill="auto"/>
          </w:tcPr>
          <w:p w:rsidRPr="00901313" w:rsidR="00445F86" w:rsidP="008A1AA4" w:rsidRDefault="00445F86" w14:paraId="3404B217" w14:textId="77777777">
            <w:pPr>
              <w:keepNext/>
              <w:rPr>
                <w:rFonts w:eastAsia="Calibri" w:cstheme="minorHAnsi"/>
                <w:b/>
                <w:szCs w:val="18"/>
              </w:rPr>
            </w:pPr>
            <w:r w:rsidRPr="00901313">
              <w:rPr>
                <w:b/>
                <w:szCs w:val="18"/>
              </w:rPr>
              <w:t>Prüfungshandlung</w:t>
            </w:r>
          </w:p>
        </w:tc>
        <w:tc>
          <w:tcPr>
            <w:tcW w:w="1275" w:type="dxa"/>
            <w:shd w:val="clear" w:color="auto" w:fill="auto"/>
          </w:tcPr>
          <w:p w:rsidRPr="00901313" w:rsidR="00445F86" w:rsidP="008A1AA4" w:rsidRDefault="00445F86" w14:paraId="3330DA9F" w14:textId="4C7AF9E0">
            <w:pPr>
              <w:keepNext/>
              <w:rPr>
                <w:rFonts w:eastAsia="Calibri" w:cstheme="minorHAnsi"/>
                <w:b/>
                <w:szCs w:val="18"/>
              </w:rPr>
            </w:pPr>
            <w:r w:rsidRPr="00901313">
              <w:rPr>
                <w:b/>
                <w:szCs w:val="18"/>
              </w:rPr>
              <w:t xml:space="preserve"> Prüfungsfeststellung</w:t>
            </w:r>
            <w:r w:rsidRPr="00901313" w:rsidR="00C62191">
              <w:rPr>
                <w:rFonts w:eastAsia="Calibri" w:cstheme="minorHAnsi"/>
                <w:szCs w:val="18"/>
                <w:vertAlign w:val="superscript"/>
              </w:rPr>
              <w:footnoteReference w:id="6"/>
            </w:r>
          </w:p>
          <w:p w:rsidRPr="00901313" w:rsidR="00445F86" w:rsidP="008A1AA4" w:rsidRDefault="00445F86" w14:paraId="743FDD6D" w14:textId="77777777">
            <w:pPr>
              <w:keepNext/>
              <w:rPr>
                <w:rFonts w:eastAsia="Calibri" w:cstheme="minorHAnsi"/>
                <w:szCs w:val="18"/>
              </w:rPr>
            </w:pPr>
            <w:r w:rsidRPr="00901313">
              <w:t>(Ja/Nein/N. z.)</w:t>
            </w:r>
          </w:p>
        </w:tc>
        <w:tc>
          <w:tcPr>
            <w:tcW w:w="3402" w:type="dxa"/>
            <w:shd w:val="clear" w:color="auto" w:fill="auto"/>
          </w:tcPr>
          <w:p w:rsidRPr="00901313" w:rsidR="00445F86" w:rsidP="008A1AA4" w:rsidRDefault="00445F86" w14:paraId="511E8C5E" w14:textId="5B153CCA">
            <w:pPr>
              <w:keepNext/>
              <w:rPr>
                <w:rFonts w:eastAsia="Calibri" w:cstheme="minorHAnsi"/>
                <w:b/>
                <w:szCs w:val="18"/>
              </w:rPr>
            </w:pPr>
            <w:r w:rsidRPr="00901313">
              <w:rPr>
                <w:b/>
                <w:szCs w:val="18"/>
              </w:rPr>
              <w:t>Beschreibung der Prüfungsfeststellungen oder/und Kommentare</w:t>
            </w:r>
            <w:r w:rsidRPr="00901313" w:rsidR="0090114E">
              <w:rPr>
                <w:rFonts w:eastAsia="Calibri" w:cstheme="minorHAnsi"/>
                <w:szCs w:val="18"/>
                <w:vertAlign w:val="superscript"/>
              </w:rPr>
              <w:footnoteReference w:id="7"/>
            </w:r>
          </w:p>
        </w:tc>
      </w:tr>
      <w:tr w:rsidRPr="00901313" w:rsidR="00445F86" w:rsidTr="00A526B2" w14:paraId="32597602" w14:textId="77777777">
        <w:tc>
          <w:tcPr>
            <w:tcW w:w="675" w:type="dxa"/>
            <w:shd w:val="clear" w:color="auto" w:fill="auto"/>
          </w:tcPr>
          <w:p w:rsidRPr="00901313" w:rsidR="00445F86" w:rsidP="00A526B2" w:rsidRDefault="00445F86" w14:paraId="2668B39A" w14:textId="77777777">
            <w:pPr>
              <w:rPr>
                <w:rFonts w:eastAsia="Calibri" w:cstheme="minorHAnsi"/>
                <w:szCs w:val="18"/>
              </w:rPr>
            </w:pPr>
            <w:r w:rsidRPr="00901313">
              <w:rPr>
                <w:szCs w:val="18"/>
              </w:rPr>
              <w:t>1.1</w:t>
            </w:r>
          </w:p>
        </w:tc>
        <w:tc>
          <w:tcPr>
            <w:tcW w:w="3828" w:type="dxa"/>
            <w:shd w:val="clear" w:color="auto" w:fill="auto"/>
          </w:tcPr>
          <w:p w:rsidRPr="00901313" w:rsidR="00445F86" w:rsidP="00FD7098" w:rsidRDefault="00445F86" w14:paraId="19BED59E" w14:textId="0E096C95">
            <w:pPr>
              <w:spacing w:after="160" w:line="256" w:lineRule="auto"/>
              <w:contextualSpacing/>
              <w:jc w:val="both"/>
              <w:rPr>
                <w:rFonts w:eastAsia="Calibri" w:cstheme="minorHAnsi"/>
                <w:szCs w:val="18"/>
              </w:rPr>
            </w:pPr>
            <w:r w:rsidRPr="00901313">
              <w:rPr>
                <w:b/>
                <w:szCs w:val="18"/>
              </w:rPr>
              <w:t>Einholung des Meldebogens für die Daten zu den im Voraus erhobenen Beiträgen zum SRF</w:t>
            </w:r>
            <w:r w:rsidRPr="00901313">
              <w:t xml:space="preserve"> (nachfolgend „Meldebogen“), den das Institut der Abwicklungsbehörde gemäß Artikel 14 der Delegierten Verordnung (EU) 2015/63 der Kommission vorgelegt hat. </w:t>
            </w:r>
            <w:r w:rsidRPr="00901313">
              <w:rPr>
                <w:color w:val="000000"/>
                <w:szCs w:val="18"/>
              </w:rPr>
              <w:t>Fügen Sie den Meldebogen als Anhang zu diesem Bericht hinzu.</w:t>
            </w:r>
            <w:r w:rsidRPr="00901313">
              <w:t xml:space="preserve"> </w:t>
            </w:r>
          </w:p>
        </w:tc>
        <w:tc>
          <w:tcPr>
            <w:tcW w:w="1275" w:type="dxa"/>
            <w:shd w:val="clear" w:color="auto" w:fill="auto"/>
          </w:tcPr>
          <w:p w:rsidRPr="00901313" w:rsidR="00445F86" w:rsidP="004F7F73" w:rsidRDefault="00445F86" w14:paraId="4915CA7E" w14:textId="4174EF21">
            <w:pPr>
              <w:pStyle w:val="ListParagraph"/>
              <w:numPr>
                <w:ilvl w:val="0"/>
                <w:numId w:val="18"/>
              </w:numPr>
              <w:ind w:left="360"/>
              <w:rPr>
                <w:rFonts w:eastAsia="Calibri" w:cstheme="minorHAnsi"/>
                <w:szCs w:val="18"/>
              </w:rPr>
            </w:pPr>
            <w:r w:rsidRPr="00901313">
              <w:t>Ja</w:t>
            </w:r>
          </w:p>
          <w:p w:rsidRPr="00901313" w:rsidR="00445F86" w:rsidP="004F7F73" w:rsidRDefault="00445F86" w14:paraId="6406112C" w14:textId="10186E02">
            <w:pPr>
              <w:pStyle w:val="ListParagraph"/>
              <w:numPr>
                <w:ilvl w:val="0"/>
                <w:numId w:val="18"/>
              </w:numPr>
              <w:ind w:left="360"/>
              <w:rPr>
                <w:rFonts w:cstheme="minorHAnsi"/>
                <w:szCs w:val="18"/>
              </w:rPr>
            </w:pPr>
            <w:r w:rsidRPr="00901313">
              <w:t>Nein</w:t>
            </w:r>
          </w:p>
          <w:p w:rsidRPr="00901313" w:rsidR="00445F86" w:rsidP="004F7F73" w:rsidRDefault="00445F86" w14:paraId="57CDB72D" w14:textId="141DA607">
            <w:pPr>
              <w:pStyle w:val="ListParagraph"/>
              <w:numPr>
                <w:ilvl w:val="0"/>
                <w:numId w:val="18"/>
              </w:numPr>
              <w:ind w:left="360"/>
              <w:rPr>
                <w:rFonts w:eastAsia="Times New Roman" w:cstheme="minorHAnsi"/>
                <w:color w:val="2E74B5"/>
                <w:szCs w:val="18"/>
              </w:rPr>
            </w:pPr>
            <w:r w:rsidRPr="00901313">
              <w:t>N. z.</w:t>
            </w:r>
          </w:p>
        </w:tc>
        <w:tc>
          <w:tcPr>
            <w:tcW w:w="3402" w:type="dxa"/>
            <w:shd w:val="clear" w:color="auto" w:fill="auto"/>
          </w:tcPr>
          <w:p w:rsidRPr="00901313" w:rsidR="00445F86" w:rsidP="00A526B2" w:rsidRDefault="00445F86" w14:paraId="09F90C4C" w14:textId="77777777">
            <w:pPr>
              <w:rPr>
                <w:rFonts w:eastAsia="Calibri" w:cstheme="minorHAnsi"/>
                <w:szCs w:val="18"/>
              </w:rPr>
            </w:pPr>
          </w:p>
        </w:tc>
      </w:tr>
      <w:tr w:rsidRPr="00901313" w:rsidR="00445F86" w:rsidTr="00A526B2" w14:paraId="682E7031" w14:textId="77777777">
        <w:tc>
          <w:tcPr>
            <w:tcW w:w="675" w:type="dxa"/>
            <w:shd w:val="clear" w:color="auto" w:fill="auto"/>
          </w:tcPr>
          <w:p w:rsidRPr="00901313" w:rsidR="00445F86" w:rsidP="00A526B2" w:rsidRDefault="00445F86" w14:paraId="2D10FF9F" w14:textId="77777777">
            <w:pPr>
              <w:rPr>
                <w:rFonts w:eastAsia="Calibri" w:cstheme="minorHAnsi"/>
                <w:szCs w:val="18"/>
              </w:rPr>
            </w:pPr>
            <w:r w:rsidRPr="00901313">
              <w:rPr>
                <w:szCs w:val="18"/>
              </w:rPr>
              <w:t>1.2</w:t>
            </w:r>
          </w:p>
        </w:tc>
        <w:tc>
          <w:tcPr>
            <w:tcW w:w="3828" w:type="dxa"/>
            <w:shd w:val="clear" w:color="auto" w:fill="auto"/>
          </w:tcPr>
          <w:p w:rsidRPr="00901313" w:rsidR="00445F86" w:rsidP="00A526B2" w:rsidRDefault="00445F86" w14:paraId="002B48E3" w14:textId="2C593CC7">
            <w:pPr>
              <w:spacing w:after="160" w:line="256" w:lineRule="auto"/>
              <w:contextualSpacing/>
              <w:jc w:val="both"/>
              <w:rPr>
                <w:rFonts w:eastAsia="Calibri" w:cstheme="minorHAnsi"/>
                <w:szCs w:val="18"/>
              </w:rPr>
            </w:pPr>
            <w:r w:rsidRPr="00901313">
              <w:rPr>
                <w:b/>
                <w:szCs w:val="18"/>
              </w:rPr>
              <w:t>Einholung der Unterlagen zu den Prüfungshandlungen</w:t>
            </w:r>
            <w:r w:rsidRPr="00901313">
              <w:t>, anhand derer die Daten extrahiert und die Kontrollen durchgeführt wurden, um zu gewährleisten, dass die gemeldeten Daten den Anweisungen im Meldebogen, in der Leitlinie für 2023</w:t>
            </w:r>
            <w:r w:rsidRPr="00901313" w:rsidR="00C878C2">
              <w:rPr>
                <w:rStyle w:val="FootnoteReference"/>
                <w:rFonts w:eastAsia="Calibri" w:cstheme="minorHAnsi"/>
                <w:szCs w:val="18"/>
              </w:rPr>
              <w:footnoteReference w:id="8"/>
            </w:r>
            <w:r w:rsidRPr="00901313">
              <w:t xml:space="preserve"> und anderen technischen Leitlinien entsprechen, die vom Einheitlichen Abwicklungsausschuss </w:t>
            </w:r>
            <w:r w:rsidRPr="00901313">
              <w:lastRenderedPageBreak/>
              <w:t>oder der nationalen Abwicklungsbehörde bereitgestellt wurden.</w:t>
            </w:r>
          </w:p>
          <w:p w:rsidRPr="00901313" w:rsidR="00445F86" w:rsidP="00A526B2" w:rsidRDefault="00445F86" w14:paraId="1797E2F1" w14:textId="77777777">
            <w:pPr>
              <w:rPr>
                <w:rFonts w:eastAsia="Calibri" w:cstheme="minorHAnsi"/>
                <w:szCs w:val="18"/>
              </w:rPr>
            </w:pPr>
          </w:p>
        </w:tc>
        <w:tc>
          <w:tcPr>
            <w:tcW w:w="1275" w:type="dxa"/>
            <w:shd w:val="clear" w:color="auto" w:fill="auto"/>
          </w:tcPr>
          <w:p w:rsidRPr="00901313" w:rsidR="00445F86" w:rsidP="004F7F73" w:rsidRDefault="00445F86" w14:paraId="38E9ED0D" w14:textId="04128A1C">
            <w:pPr>
              <w:pStyle w:val="ListParagraph"/>
              <w:numPr>
                <w:ilvl w:val="0"/>
                <w:numId w:val="19"/>
              </w:numPr>
              <w:ind w:left="360"/>
              <w:rPr>
                <w:rFonts w:cstheme="minorHAnsi"/>
                <w:szCs w:val="18"/>
              </w:rPr>
            </w:pPr>
            <w:r w:rsidRPr="00901313">
              <w:lastRenderedPageBreak/>
              <w:t>Ja</w:t>
            </w:r>
          </w:p>
          <w:p w:rsidRPr="00901313" w:rsidR="00445F86" w:rsidP="004F7F73" w:rsidRDefault="00445F86" w14:paraId="0137E818" w14:textId="3A0DE913">
            <w:pPr>
              <w:pStyle w:val="ListParagraph"/>
              <w:numPr>
                <w:ilvl w:val="0"/>
                <w:numId w:val="19"/>
              </w:numPr>
              <w:ind w:left="360"/>
              <w:rPr>
                <w:rFonts w:cstheme="minorHAnsi"/>
                <w:szCs w:val="18"/>
              </w:rPr>
            </w:pPr>
            <w:r w:rsidRPr="00901313">
              <w:t>Nein</w:t>
            </w:r>
          </w:p>
          <w:p w:rsidRPr="00901313" w:rsidR="00445F86" w:rsidP="004F7F73" w:rsidRDefault="00445F86" w14:paraId="58CF9AA3" w14:textId="0FF4F263">
            <w:pPr>
              <w:pStyle w:val="ListParagraph"/>
              <w:numPr>
                <w:ilvl w:val="0"/>
                <w:numId w:val="19"/>
              </w:numPr>
              <w:ind w:left="360"/>
              <w:rPr>
                <w:rFonts w:eastAsia="Calibri" w:cstheme="minorHAnsi"/>
                <w:szCs w:val="18"/>
              </w:rPr>
            </w:pPr>
            <w:r w:rsidRPr="00901313">
              <w:t>N. z.</w:t>
            </w:r>
          </w:p>
        </w:tc>
        <w:tc>
          <w:tcPr>
            <w:tcW w:w="3402" w:type="dxa"/>
            <w:shd w:val="clear" w:color="auto" w:fill="auto"/>
          </w:tcPr>
          <w:p w:rsidRPr="00901313" w:rsidR="00445F86" w:rsidP="00A526B2" w:rsidRDefault="00445F86" w14:paraId="2F6C48B7" w14:textId="77777777">
            <w:pPr>
              <w:rPr>
                <w:rFonts w:eastAsia="Calibri" w:cstheme="minorHAnsi"/>
                <w:szCs w:val="18"/>
              </w:rPr>
            </w:pPr>
          </w:p>
        </w:tc>
      </w:tr>
      <w:tr w:rsidRPr="00901313" w:rsidR="00445F86" w:rsidTr="00A526B2" w14:paraId="49E7C6F1" w14:textId="77777777">
        <w:tc>
          <w:tcPr>
            <w:tcW w:w="675" w:type="dxa"/>
            <w:shd w:val="clear" w:color="auto" w:fill="auto"/>
          </w:tcPr>
          <w:p w:rsidRPr="00901313" w:rsidR="00445F86" w:rsidP="00A526B2" w:rsidRDefault="00445F86" w14:paraId="5892EE3A" w14:textId="77777777">
            <w:pPr>
              <w:rPr>
                <w:rFonts w:eastAsia="Calibri" w:cstheme="minorHAnsi"/>
                <w:szCs w:val="18"/>
              </w:rPr>
            </w:pPr>
            <w:r w:rsidRPr="00901313">
              <w:rPr>
                <w:szCs w:val="18"/>
              </w:rPr>
              <w:t>1.3</w:t>
            </w:r>
          </w:p>
        </w:tc>
        <w:tc>
          <w:tcPr>
            <w:tcW w:w="3828" w:type="dxa"/>
            <w:shd w:val="clear" w:color="auto" w:fill="auto"/>
          </w:tcPr>
          <w:p w:rsidRPr="00901313" w:rsidR="00445F86" w:rsidP="00A526B2" w:rsidRDefault="00445F86" w14:paraId="17CA0C87" w14:textId="77777777">
            <w:pPr>
              <w:spacing w:after="160" w:line="256" w:lineRule="auto"/>
              <w:contextualSpacing/>
              <w:jc w:val="both"/>
              <w:rPr>
                <w:rFonts w:eastAsia="Calibri" w:cstheme="minorHAnsi"/>
                <w:szCs w:val="18"/>
              </w:rPr>
            </w:pPr>
            <w:r w:rsidRPr="00901313">
              <w:rPr>
                <w:b/>
                <w:szCs w:val="18"/>
              </w:rPr>
              <w:t>Einholung einer schriftlichen Bestätigung</w:t>
            </w:r>
            <w:r w:rsidRPr="00901313">
              <w:t xml:space="preserve"> des Leitungsorgans</w:t>
            </w:r>
            <w:r w:rsidRPr="00901313">
              <w:rPr>
                <w:rFonts w:eastAsia="Calibri" w:cstheme="minorHAnsi"/>
                <w:szCs w:val="18"/>
                <w:vertAlign w:val="superscript"/>
              </w:rPr>
              <w:footnoteReference w:id="9"/>
            </w:r>
            <w:r w:rsidRPr="00901313">
              <w:t>, dass die in den Unterlagen beschriebenen Prüfungshandlungen umgesetzt und durchgeführt wurden.</w:t>
            </w:r>
          </w:p>
          <w:p w:rsidRPr="00901313" w:rsidR="00445F86" w:rsidP="00A526B2" w:rsidRDefault="00445F86" w14:paraId="3D4F4845" w14:textId="77777777">
            <w:pPr>
              <w:rPr>
                <w:rFonts w:eastAsia="Calibri" w:cstheme="minorHAnsi"/>
                <w:szCs w:val="18"/>
              </w:rPr>
            </w:pPr>
          </w:p>
        </w:tc>
        <w:tc>
          <w:tcPr>
            <w:tcW w:w="1275" w:type="dxa"/>
            <w:shd w:val="clear" w:color="auto" w:fill="auto"/>
          </w:tcPr>
          <w:p w:rsidRPr="00901313" w:rsidR="00445F86" w:rsidP="004F7F73" w:rsidRDefault="00445F86" w14:paraId="259465DF" w14:textId="0D7581AC">
            <w:pPr>
              <w:pStyle w:val="ListParagraph"/>
              <w:numPr>
                <w:ilvl w:val="0"/>
                <w:numId w:val="20"/>
              </w:numPr>
              <w:ind w:left="360"/>
              <w:rPr>
                <w:rFonts w:cstheme="minorHAnsi"/>
                <w:szCs w:val="18"/>
              </w:rPr>
            </w:pPr>
            <w:r w:rsidRPr="00901313">
              <w:t>Ja</w:t>
            </w:r>
          </w:p>
          <w:p w:rsidRPr="00901313" w:rsidR="00445F86" w:rsidP="004F7F73" w:rsidRDefault="00445F86" w14:paraId="4914D794" w14:textId="0320F44B">
            <w:pPr>
              <w:pStyle w:val="ListParagraph"/>
              <w:numPr>
                <w:ilvl w:val="0"/>
                <w:numId w:val="20"/>
              </w:numPr>
              <w:ind w:left="360"/>
              <w:rPr>
                <w:rFonts w:cstheme="minorHAnsi"/>
                <w:szCs w:val="18"/>
              </w:rPr>
            </w:pPr>
            <w:r w:rsidRPr="00901313">
              <w:t>Nein</w:t>
            </w:r>
          </w:p>
          <w:p w:rsidRPr="00901313" w:rsidR="00445F86" w:rsidP="004F7F73" w:rsidRDefault="00445F86" w14:paraId="3F9F321D" w14:textId="4FE27CFA">
            <w:pPr>
              <w:pStyle w:val="ListParagraph"/>
              <w:numPr>
                <w:ilvl w:val="0"/>
                <w:numId w:val="20"/>
              </w:numPr>
              <w:ind w:left="360"/>
              <w:rPr>
                <w:rFonts w:eastAsia="Calibri" w:cstheme="minorHAnsi"/>
                <w:szCs w:val="18"/>
              </w:rPr>
            </w:pPr>
            <w:r w:rsidRPr="00901313">
              <w:t>N. z.</w:t>
            </w:r>
          </w:p>
        </w:tc>
        <w:tc>
          <w:tcPr>
            <w:tcW w:w="3402" w:type="dxa"/>
            <w:shd w:val="clear" w:color="auto" w:fill="auto"/>
          </w:tcPr>
          <w:p w:rsidRPr="00901313" w:rsidR="00445F86" w:rsidP="00A526B2" w:rsidRDefault="00445F86" w14:paraId="59526B35" w14:textId="77777777">
            <w:pPr>
              <w:rPr>
                <w:rFonts w:eastAsia="Calibri" w:cstheme="minorHAnsi"/>
                <w:szCs w:val="18"/>
              </w:rPr>
            </w:pPr>
          </w:p>
        </w:tc>
      </w:tr>
    </w:tbl>
    <w:p w:rsidRPr="00901313" w:rsidR="00445F86" w:rsidP="008A1AA4" w:rsidRDefault="00445F86" w14:paraId="0C22EC23" w14:textId="24D0ED2E">
      <w:pPr>
        <w:pStyle w:val="Heading2"/>
        <w:keepNext/>
        <w:rPr>
          <w:b/>
        </w:rPr>
      </w:pPr>
      <w:r w:rsidRPr="00901313">
        <w:rPr>
          <w:b/>
        </w:rPr>
        <w:t>Prüfungshandlungen zu 2: Gedeckte Einlagen (Datenfeld „2A3“) (wenn nicht vom DGS bereitgestellt und geprüft)</w:t>
      </w:r>
    </w:p>
    <w:p w:rsidRPr="00901313" w:rsidR="00445F86" w:rsidP="00B97EC1" w:rsidRDefault="00445F86" w14:paraId="32C9B95B" w14:textId="22EA2076">
      <w:pPr>
        <w:spacing w:after="160" w:line="256" w:lineRule="auto"/>
        <w:ind w:left="720"/>
        <w:contextualSpacing/>
        <w:jc w:val="both"/>
        <w:rPr>
          <w:rFonts w:eastAsia="Calibri" w:cstheme="minorHAnsi"/>
          <w:szCs w:val="18"/>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3828"/>
        <w:gridCol w:w="1275"/>
        <w:gridCol w:w="3402"/>
      </w:tblGrid>
      <w:tr w:rsidRPr="00901313" w:rsidR="00445F86" w:rsidTr="00B97EC1" w14:paraId="342E5274" w14:textId="5CC9FD2B">
        <w:trPr>
          <w:trHeight w:val="546"/>
        </w:trPr>
        <w:tc>
          <w:tcPr>
            <w:tcW w:w="675" w:type="dxa"/>
            <w:shd w:val="clear" w:color="auto" w:fill="auto"/>
          </w:tcPr>
          <w:p w:rsidRPr="00901313" w:rsidR="00445F86" w:rsidP="008A1AA4" w:rsidRDefault="00445F86" w14:paraId="7FD8AC33" w14:textId="2E049EDA">
            <w:pPr>
              <w:keepNext/>
              <w:tabs>
                <w:tab w:val="center" w:pos="229"/>
              </w:tabs>
              <w:rPr>
                <w:rFonts w:eastAsia="Calibri" w:cstheme="minorHAnsi"/>
                <w:b/>
                <w:szCs w:val="18"/>
              </w:rPr>
            </w:pPr>
            <w:r w:rsidRPr="00901313">
              <w:rPr>
                <w:b/>
                <w:szCs w:val="18"/>
              </w:rPr>
              <w:t>#</w:t>
            </w:r>
          </w:p>
        </w:tc>
        <w:tc>
          <w:tcPr>
            <w:tcW w:w="3828" w:type="dxa"/>
            <w:shd w:val="clear" w:color="auto" w:fill="auto"/>
          </w:tcPr>
          <w:p w:rsidRPr="00901313" w:rsidR="00445F86" w:rsidP="008A1AA4" w:rsidRDefault="00445F86" w14:paraId="3653200E" w14:textId="535B2BD6">
            <w:pPr>
              <w:keepNext/>
              <w:rPr>
                <w:rFonts w:eastAsia="Calibri" w:cstheme="minorHAnsi"/>
                <w:b/>
                <w:szCs w:val="18"/>
              </w:rPr>
            </w:pPr>
            <w:r w:rsidRPr="00901313">
              <w:rPr>
                <w:b/>
                <w:szCs w:val="18"/>
              </w:rPr>
              <w:t>Prüfungshandlung</w:t>
            </w:r>
          </w:p>
        </w:tc>
        <w:tc>
          <w:tcPr>
            <w:tcW w:w="1275" w:type="dxa"/>
            <w:shd w:val="clear" w:color="auto" w:fill="auto"/>
          </w:tcPr>
          <w:p w:rsidRPr="00901313" w:rsidR="00445F86" w:rsidP="008A1AA4" w:rsidRDefault="00445F86" w14:paraId="2E0198EC" w14:textId="54FBC224">
            <w:pPr>
              <w:keepNext/>
              <w:rPr>
                <w:rFonts w:eastAsia="Calibri" w:cstheme="minorHAnsi"/>
                <w:b/>
                <w:szCs w:val="18"/>
              </w:rPr>
            </w:pPr>
            <w:r w:rsidRPr="00901313">
              <w:rPr>
                <w:b/>
                <w:szCs w:val="18"/>
              </w:rPr>
              <w:t>Prüfungsfeststellung</w:t>
            </w:r>
            <w:r w:rsidRPr="00901313" w:rsidR="00B97EC1">
              <w:rPr>
                <w:rFonts w:eastAsia="Calibri" w:cstheme="minorHAnsi"/>
                <w:szCs w:val="18"/>
                <w:vertAlign w:val="superscript"/>
              </w:rPr>
              <w:footnoteReference w:id="10"/>
            </w:r>
          </w:p>
          <w:p w:rsidRPr="00901313" w:rsidR="00445F86" w:rsidP="008A1AA4" w:rsidRDefault="00445F86" w14:paraId="0E54556D" w14:textId="48E459A7">
            <w:pPr>
              <w:keepNext/>
              <w:rPr>
                <w:rFonts w:eastAsia="Calibri" w:cstheme="minorHAnsi"/>
                <w:szCs w:val="18"/>
              </w:rPr>
            </w:pPr>
            <w:r w:rsidRPr="00901313">
              <w:t>(Ja/Nein/N. z.)</w:t>
            </w:r>
          </w:p>
        </w:tc>
        <w:tc>
          <w:tcPr>
            <w:tcW w:w="3402" w:type="dxa"/>
            <w:shd w:val="clear" w:color="auto" w:fill="auto"/>
          </w:tcPr>
          <w:p w:rsidRPr="00901313" w:rsidR="00445F86" w:rsidP="008A1AA4" w:rsidRDefault="00445F86" w14:paraId="545DF935" w14:textId="2ECD11C3">
            <w:pPr>
              <w:keepNext/>
              <w:rPr>
                <w:rFonts w:eastAsia="Calibri" w:cstheme="minorHAnsi"/>
                <w:b/>
                <w:szCs w:val="18"/>
              </w:rPr>
            </w:pPr>
            <w:r w:rsidRPr="00901313">
              <w:rPr>
                <w:b/>
                <w:szCs w:val="18"/>
              </w:rPr>
              <w:t>Beschreibung der Prüfungsfeststellungen oder/und Kommentare</w:t>
            </w:r>
            <w:r w:rsidRPr="00901313" w:rsidR="0090114E">
              <w:rPr>
                <w:rFonts w:eastAsia="Calibri" w:cstheme="minorHAnsi"/>
                <w:szCs w:val="18"/>
                <w:vertAlign w:val="superscript"/>
              </w:rPr>
              <w:footnoteReference w:id="11"/>
            </w:r>
          </w:p>
        </w:tc>
      </w:tr>
      <w:tr w:rsidRPr="00901313" w:rsidR="00445F86" w:rsidTr="00B97EC1" w14:paraId="458B0F8F" w14:textId="0C906D63">
        <w:tc>
          <w:tcPr>
            <w:tcW w:w="675" w:type="dxa"/>
            <w:shd w:val="clear" w:color="auto" w:fill="auto"/>
          </w:tcPr>
          <w:p w:rsidRPr="00901313" w:rsidR="00445F86" w:rsidP="00B97EC1" w:rsidRDefault="00445F86" w14:paraId="701DEAB4" w14:textId="0B2D89D8">
            <w:pPr>
              <w:rPr>
                <w:rFonts w:eastAsia="Calibri" w:cstheme="minorHAnsi"/>
                <w:szCs w:val="18"/>
              </w:rPr>
            </w:pPr>
            <w:r w:rsidRPr="00901313">
              <w:rPr>
                <w:szCs w:val="18"/>
              </w:rPr>
              <w:t>2.1</w:t>
            </w:r>
          </w:p>
        </w:tc>
        <w:tc>
          <w:tcPr>
            <w:tcW w:w="3828" w:type="dxa"/>
            <w:shd w:val="clear" w:color="auto" w:fill="auto"/>
          </w:tcPr>
          <w:p w:rsidRPr="00901313" w:rsidR="00445F86" w:rsidP="00B97EC1" w:rsidRDefault="00445F86" w14:paraId="46C1EEEE" w14:textId="6C093151">
            <w:pPr>
              <w:spacing w:after="160" w:line="256" w:lineRule="auto"/>
              <w:contextualSpacing/>
              <w:jc w:val="both"/>
              <w:rPr>
                <w:rFonts w:eastAsia="Calibri" w:cstheme="minorHAnsi"/>
                <w:szCs w:val="18"/>
              </w:rPr>
            </w:pPr>
            <w:r w:rsidRPr="00901313">
              <w:rPr>
                <w:b/>
                <w:szCs w:val="18"/>
              </w:rPr>
              <w:t>Einholung einer schriftlichen Bestätigung des Leitungsorgans des Instituts</w:t>
            </w:r>
            <w:r w:rsidRPr="00901313">
              <w:t>, dass der Rechtsrahmen, der zur Ermittlung der Einlagen für Feld „2A3“ des Meldebogens verwendet wurde, mit der Bestimmung des Begriffs „gedeckte Einlagen“ gemäß Artikel 3 Nummer 10 der Delegierten Verordnung (EU) 2015/63 der Kommission im Einklang steht (demnach bezeichnet der Ausdruck „</w:t>
            </w:r>
            <w:r w:rsidRPr="00901313">
              <w:rPr>
                <w:i/>
                <w:szCs w:val="18"/>
              </w:rPr>
              <w:t>„gedeckte Einlagen“ die Einlagen im Sinne von Artikel 6 Absatz 1 der Richtlinie 2014/49/EU unter Ausschluss von vorübergehend hohen Guthaben im Sinne von Artikel 6 Absatz 2 der Richtlinie</w:t>
            </w:r>
            <w:r w:rsidRPr="00901313">
              <w:t>“).</w:t>
            </w:r>
          </w:p>
          <w:p w:rsidRPr="00901313" w:rsidR="00445F86" w:rsidP="00B97EC1" w:rsidRDefault="00445F86" w14:paraId="18F7FDE6" w14:textId="5A169FA6">
            <w:pPr>
              <w:spacing w:after="160" w:line="256" w:lineRule="auto"/>
              <w:contextualSpacing/>
              <w:jc w:val="both"/>
              <w:rPr>
                <w:rFonts w:eastAsia="Calibri" w:cstheme="minorHAnsi"/>
                <w:szCs w:val="18"/>
              </w:rPr>
            </w:pPr>
            <w:r w:rsidRPr="00901313">
              <w:t xml:space="preserve"> </w:t>
            </w:r>
          </w:p>
        </w:tc>
        <w:tc>
          <w:tcPr>
            <w:tcW w:w="1275" w:type="dxa"/>
            <w:shd w:val="clear" w:color="auto" w:fill="auto"/>
          </w:tcPr>
          <w:p w:rsidRPr="00901313" w:rsidR="00445F86" w:rsidP="004F7F73" w:rsidRDefault="00445F86" w14:paraId="7CD4276F" w14:textId="43E6D2CB">
            <w:pPr>
              <w:pStyle w:val="ListParagraph"/>
              <w:numPr>
                <w:ilvl w:val="0"/>
                <w:numId w:val="22"/>
              </w:numPr>
              <w:ind w:left="360"/>
              <w:rPr>
                <w:rFonts w:cstheme="minorHAnsi"/>
                <w:szCs w:val="18"/>
              </w:rPr>
            </w:pPr>
            <w:r w:rsidRPr="00901313">
              <w:t>Ja</w:t>
            </w:r>
          </w:p>
          <w:p w:rsidRPr="00901313" w:rsidR="00445F86" w:rsidP="004F7F73" w:rsidRDefault="00445F86" w14:paraId="71F9C714" w14:textId="2CCCC677">
            <w:pPr>
              <w:pStyle w:val="ListParagraph"/>
              <w:numPr>
                <w:ilvl w:val="0"/>
                <w:numId w:val="22"/>
              </w:numPr>
              <w:ind w:left="360"/>
              <w:rPr>
                <w:rFonts w:cstheme="minorHAnsi"/>
                <w:szCs w:val="18"/>
              </w:rPr>
            </w:pPr>
            <w:r w:rsidRPr="00901313">
              <w:t>Nein</w:t>
            </w:r>
          </w:p>
          <w:p w:rsidRPr="00901313" w:rsidR="00445F86" w:rsidP="004F7F73" w:rsidRDefault="00445F86" w14:paraId="165750EA" w14:textId="6C9D962A">
            <w:pPr>
              <w:pStyle w:val="ListParagraph"/>
              <w:numPr>
                <w:ilvl w:val="0"/>
                <w:numId w:val="22"/>
              </w:numPr>
              <w:ind w:left="360"/>
              <w:rPr>
                <w:rFonts w:eastAsia="Times New Roman" w:cstheme="minorHAnsi"/>
                <w:color w:val="2E74B5"/>
                <w:szCs w:val="18"/>
              </w:rPr>
            </w:pPr>
            <w:r w:rsidRPr="00901313">
              <w:t>N. z.</w:t>
            </w:r>
          </w:p>
        </w:tc>
        <w:tc>
          <w:tcPr>
            <w:tcW w:w="3402" w:type="dxa"/>
            <w:shd w:val="clear" w:color="auto" w:fill="auto"/>
          </w:tcPr>
          <w:p w:rsidRPr="00901313" w:rsidR="00445F86" w:rsidP="00B97EC1" w:rsidRDefault="00445F86" w14:paraId="2EC7E438" w14:textId="107FA959">
            <w:pPr>
              <w:rPr>
                <w:rFonts w:eastAsia="Calibri" w:cstheme="minorHAnsi"/>
                <w:szCs w:val="18"/>
              </w:rPr>
            </w:pPr>
          </w:p>
        </w:tc>
      </w:tr>
      <w:tr w:rsidRPr="00901313" w:rsidR="00445F86" w:rsidTr="00B97EC1" w14:paraId="0635695A" w14:textId="6800E582">
        <w:tc>
          <w:tcPr>
            <w:tcW w:w="675" w:type="dxa"/>
            <w:shd w:val="clear" w:color="auto" w:fill="auto"/>
          </w:tcPr>
          <w:p w:rsidRPr="00901313" w:rsidR="00445F86" w:rsidP="00B97EC1" w:rsidRDefault="00445F86" w14:paraId="02E0CB47" w14:textId="5D41847A">
            <w:pPr>
              <w:rPr>
                <w:rFonts w:eastAsia="Calibri" w:cstheme="minorHAnsi"/>
                <w:szCs w:val="18"/>
              </w:rPr>
            </w:pPr>
            <w:r w:rsidRPr="00901313">
              <w:rPr>
                <w:szCs w:val="18"/>
              </w:rPr>
              <w:t>2.2</w:t>
            </w:r>
          </w:p>
        </w:tc>
        <w:tc>
          <w:tcPr>
            <w:tcW w:w="3828" w:type="dxa"/>
            <w:shd w:val="clear" w:color="auto" w:fill="auto"/>
          </w:tcPr>
          <w:p w:rsidRPr="00901313" w:rsidR="00445F86" w:rsidP="00B97EC1" w:rsidRDefault="00445F86" w14:paraId="04E30C9B" w14:textId="5B1099E3">
            <w:pPr>
              <w:spacing w:after="160" w:line="256" w:lineRule="auto"/>
              <w:contextualSpacing/>
              <w:jc w:val="both"/>
              <w:rPr>
                <w:rFonts w:eastAsia="Calibri" w:cstheme="minorHAnsi"/>
                <w:szCs w:val="18"/>
              </w:rPr>
            </w:pPr>
            <w:r w:rsidRPr="00901313">
              <w:rPr>
                <w:b/>
                <w:szCs w:val="18"/>
              </w:rPr>
              <w:t>Einholung des Abgleichs</w:t>
            </w:r>
            <w:r w:rsidRPr="00901313">
              <w:rPr>
                <w:rFonts w:eastAsia="Calibri" w:cstheme="minorHAnsi"/>
                <w:szCs w:val="18"/>
                <w:vertAlign w:val="superscript"/>
              </w:rPr>
              <w:footnoteReference w:id="12"/>
            </w:r>
            <w:r w:rsidRPr="00901313">
              <w:t xml:space="preserve"> des Gesamtbetrags der gedeckten Einlagen mit den zugrunde liegenden Unterlagen und dem Feld „2A3“ des Meldebogens. Neuberechnung</w:t>
            </w:r>
            <w:r w:rsidRPr="00901313">
              <w:rPr>
                <w:rFonts w:eastAsia="Calibri" w:cstheme="minorHAnsi"/>
                <w:szCs w:val="18"/>
              </w:rPr>
              <w:footnoteReference w:id="13"/>
            </w:r>
            <w:r w:rsidRPr="00901313">
              <w:t xml:space="preserve"> des Gesamtbetrags im Feld „2A3“ des Meldebogens. Im Fall mehrerer zugrunde liegender Unterlagen ist der Gesamtbetrag im Feld „2A3“ des Meldebogens anhand der Summen in den einzelnen zugrunde liegenden Unterlagen neu zu berechnen.</w:t>
            </w:r>
          </w:p>
        </w:tc>
        <w:tc>
          <w:tcPr>
            <w:tcW w:w="1275" w:type="dxa"/>
            <w:shd w:val="clear" w:color="auto" w:fill="auto"/>
          </w:tcPr>
          <w:p w:rsidRPr="00901313" w:rsidR="00445F86" w:rsidP="004F7F73" w:rsidRDefault="00445F86" w14:paraId="1567576D" w14:textId="66928E97">
            <w:pPr>
              <w:pStyle w:val="ListParagraph"/>
              <w:numPr>
                <w:ilvl w:val="0"/>
                <w:numId w:val="21"/>
              </w:numPr>
              <w:ind w:left="360"/>
              <w:rPr>
                <w:rFonts w:cstheme="minorHAnsi"/>
                <w:szCs w:val="18"/>
              </w:rPr>
            </w:pPr>
            <w:r w:rsidRPr="00901313">
              <w:t>Ja</w:t>
            </w:r>
          </w:p>
          <w:p w:rsidRPr="00901313" w:rsidR="00445F86" w:rsidP="004F7F73" w:rsidRDefault="00445F86" w14:paraId="3891B526" w14:textId="11F4D048">
            <w:pPr>
              <w:pStyle w:val="ListParagraph"/>
              <w:numPr>
                <w:ilvl w:val="0"/>
                <w:numId w:val="21"/>
              </w:numPr>
              <w:ind w:left="360"/>
              <w:rPr>
                <w:rFonts w:cstheme="minorHAnsi"/>
                <w:szCs w:val="18"/>
              </w:rPr>
            </w:pPr>
            <w:r w:rsidRPr="00901313">
              <w:t>Nein</w:t>
            </w:r>
          </w:p>
          <w:p w:rsidRPr="00901313" w:rsidR="00445F86" w:rsidP="004F7F73" w:rsidRDefault="00445F86" w14:paraId="48DF451D" w14:textId="751EAA38">
            <w:pPr>
              <w:pStyle w:val="ListParagraph"/>
              <w:numPr>
                <w:ilvl w:val="0"/>
                <w:numId w:val="21"/>
              </w:numPr>
              <w:ind w:left="360"/>
              <w:rPr>
                <w:rFonts w:eastAsia="Calibri" w:cstheme="minorHAnsi"/>
                <w:szCs w:val="18"/>
              </w:rPr>
            </w:pPr>
            <w:r w:rsidRPr="00901313">
              <w:t>N. z.</w:t>
            </w:r>
          </w:p>
        </w:tc>
        <w:tc>
          <w:tcPr>
            <w:tcW w:w="3402" w:type="dxa"/>
            <w:shd w:val="clear" w:color="auto" w:fill="auto"/>
          </w:tcPr>
          <w:p w:rsidRPr="00901313" w:rsidR="00445F86" w:rsidP="00B97EC1" w:rsidRDefault="00445F86" w14:paraId="386B44A6" w14:textId="0B12B6F1">
            <w:pPr>
              <w:rPr>
                <w:rFonts w:eastAsia="Calibri" w:cstheme="minorHAnsi"/>
                <w:szCs w:val="18"/>
              </w:rPr>
            </w:pPr>
          </w:p>
        </w:tc>
      </w:tr>
    </w:tbl>
    <w:p w:rsidRPr="00901313" w:rsidR="00445F86" w:rsidP="008A1AA4" w:rsidRDefault="00445F86" w14:paraId="4A175B64" w14:textId="7E35FF95">
      <w:pPr>
        <w:pStyle w:val="Heading2"/>
        <w:keepNext/>
        <w:rPr>
          <w:b/>
        </w:rPr>
      </w:pPr>
      <w:r w:rsidRPr="00901313">
        <w:br w:type="page"/>
      </w:r>
      <w:r w:rsidRPr="00901313">
        <w:rPr>
          <w:b/>
        </w:rPr>
        <w:lastRenderedPageBreak/>
        <w:t>Prüfungshandlungen zu 3: Anpassungen für derivative Finanzinstrumente</w:t>
      </w:r>
      <w:r w:rsidRPr="00901313" w:rsidR="00033932">
        <w:rPr>
          <w:rFonts w:eastAsia="Calibri" w:cstheme="minorHAnsi"/>
          <w:szCs w:val="18"/>
          <w:vertAlign w:val="superscript"/>
        </w:rPr>
        <w:footnoteReference w:id="14"/>
      </w:r>
    </w:p>
    <w:p w:rsidRPr="00901313" w:rsidR="003C1568" w:rsidP="008A1AA4" w:rsidRDefault="003C1568" w14:paraId="413D6CC5" w14:textId="5121EF75">
      <w:pPr>
        <w:keepNext/>
        <w:rPr>
          <w:rFonts w:eastAsia="Times New Roman" w:cstheme="minorHAnsi"/>
          <w:b/>
          <w:color w:val="0046AD"/>
          <w:szCs w:val="18"/>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59"/>
        <w:gridCol w:w="3828"/>
        <w:gridCol w:w="1275"/>
        <w:gridCol w:w="3402"/>
      </w:tblGrid>
      <w:tr w:rsidRPr="00901313" w:rsidR="00445F86" w:rsidTr="00A526B2" w14:paraId="10716E9E" w14:textId="77777777">
        <w:trPr>
          <w:trHeight w:val="546"/>
        </w:trPr>
        <w:tc>
          <w:tcPr>
            <w:tcW w:w="959" w:type="dxa"/>
            <w:shd w:val="clear" w:color="auto" w:fill="auto"/>
          </w:tcPr>
          <w:p w:rsidRPr="00901313" w:rsidR="00445F86" w:rsidP="00A526B2" w:rsidRDefault="00445F86" w14:paraId="582E464A" w14:textId="77777777">
            <w:pPr>
              <w:jc w:val="center"/>
              <w:rPr>
                <w:rFonts w:eastAsia="Calibri" w:cstheme="minorHAnsi"/>
                <w:b/>
                <w:szCs w:val="18"/>
              </w:rPr>
            </w:pPr>
            <w:r w:rsidRPr="00901313">
              <w:rPr>
                <w:b/>
                <w:szCs w:val="18"/>
              </w:rPr>
              <w:t>#</w:t>
            </w:r>
          </w:p>
        </w:tc>
        <w:tc>
          <w:tcPr>
            <w:tcW w:w="3828" w:type="dxa"/>
            <w:shd w:val="clear" w:color="auto" w:fill="auto"/>
          </w:tcPr>
          <w:p w:rsidRPr="00901313" w:rsidR="00445F86" w:rsidP="00A526B2" w:rsidRDefault="00445F86" w14:paraId="024B5F40" w14:textId="77777777">
            <w:pPr>
              <w:rPr>
                <w:rFonts w:eastAsia="Calibri" w:cstheme="minorHAnsi"/>
                <w:b/>
                <w:szCs w:val="18"/>
              </w:rPr>
            </w:pPr>
            <w:r w:rsidRPr="00901313">
              <w:rPr>
                <w:b/>
                <w:szCs w:val="18"/>
              </w:rPr>
              <w:t>Prüfungshandlung</w:t>
            </w:r>
          </w:p>
        </w:tc>
        <w:tc>
          <w:tcPr>
            <w:tcW w:w="1275" w:type="dxa"/>
            <w:shd w:val="clear" w:color="auto" w:fill="auto"/>
          </w:tcPr>
          <w:p w:rsidRPr="00901313" w:rsidR="00445F86" w:rsidP="00A526B2" w:rsidRDefault="00445F86" w14:paraId="2091CFFA" w14:textId="7D6DF684">
            <w:pPr>
              <w:rPr>
                <w:rFonts w:eastAsia="Calibri" w:cstheme="minorHAnsi"/>
                <w:b/>
                <w:szCs w:val="18"/>
              </w:rPr>
            </w:pPr>
            <w:r w:rsidRPr="00901313">
              <w:rPr>
                <w:b/>
                <w:szCs w:val="18"/>
              </w:rPr>
              <w:t xml:space="preserve"> Prüfungsfeststellung</w:t>
            </w:r>
            <w:r w:rsidRPr="00901313" w:rsidR="007477F3">
              <w:rPr>
                <w:rFonts w:eastAsia="Calibri" w:cstheme="minorHAnsi"/>
                <w:szCs w:val="18"/>
                <w:vertAlign w:val="superscript"/>
              </w:rPr>
              <w:footnoteReference w:id="15"/>
            </w:r>
          </w:p>
          <w:p w:rsidRPr="00901313" w:rsidR="00445F86" w:rsidP="00A526B2" w:rsidRDefault="00445F86" w14:paraId="14E4665E" w14:textId="77777777">
            <w:pPr>
              <w:rPr>
                <w:rFonts w:eastAsia="Calibri" w:cstheme="minorHAnsi"/>
                <w:szCs w:val="18"/>
              </w:rPr>
            </w:pPr>
            <w:r w:rsidRPr="00901313">
              <w:t>(Ja/Nein/N. z.)</w:t>
            </w:r>
          </w:p>
        </w:tc>
        <w:tc>
          <w:tcPr>
            <w:tcW w:w="3402" w:type="dxa"/>
            <w:shd w:val="clear" w:color="auto" w:fill="auto"/>
          </w:tcPr>
          <w:p w:rsidRPr="00901313" w:rsidR="00445F86" w:rsidP="00A526B2" w:rsidRDefault="00445F86" w14:paraId="1937E5A3" w14:textId="0C2F387D">
            <w:pPr>
              <w:rPr>
                <w:rFonts w:eastAsia="Calibri" w:cstheme="minorHAnsi"/>
                <w:b/>
                <w:szCs w:val="18"/>
              </w:rPr>
            </w:pPr>
            <w:r w:rsidRPr="00901313">
              <w:rPr>
                <w:b/>
                <w:szCs w:val="18"/>
              </w:rPr>
              <w:t>Beschreibung der Prüfungsfeststellungen oder/und Kommentare</w:t>
            </w:r>
            <w:r w:rsidRPr="00901313" w:rsidR="0090114E">
              <w:rPr>
                <w:rFonts w:eastAsia="Calibri" w:cstheme="minorHAnsi"/>
                <w:szCs w:val="18"/>
                <w:vertAlign w:val="superscript"/>
              </w:rPr>
              <w:footnoteReference w:id="16"/>
            </w:r>
          </w:p>
        </w:tc>
      </w:tr>
      <w:tr w:rsidRPr="00901313" w:rsidR="00445F86" w:rsidTr="00A526B2" w14:paraId="0A943C52" w14:textId="77777777">
        <w:tc>
          <w:tcPr>
            <w:tcW w:w="959" w:type="dxa"/>
            <w:shd w:val="clear" w:color="auto" w:fill="auto"/>
          </w:tcPr>
          <w:p w:rsidRPr="00901313" w:rsidR="00445F86" w:rsidP="00A526B2" w:rsidRDefault="00445F86" w14:paraId="6AAD530D" w14:textId="5E0733B5">
            <w:pPr>
              <w:rPr>
                <w:rFonts w:eastAsia="Calibri" w:cstheme="minorHAnsi"/>
                <w:szCs w:val="18"/>
              </w:rPr>
            </w:pPr>
            <w:r w:rsidRPr="00901313">
              <w:rPr>
                <w:szCs w:val="18"/>
              </w:rPr>
              <w:t>3.1</w:t>
            </w:r>
          </w:p>
        </w:tc>
        <w:tc>
          <w:tcPr>
            <w:tcW w:w="3828" w:type="dxa"/>
            <w:shd w:val="clear" w:color="auto" w:fill="auto"/>
          </w:tcPr>
          <w:p w:rsidRPr="00901313" w:rsidR="00445F86" w:rsidP="00C878C2" w:rsidRDefault="00445F86" w14:paraId="165807A5" w14:textId="58C9F436">
            <w:pPr>
              <w:spacing w:after="200" w:line="256" w:lineRule="auto"/>
              <w:contextualSpacing/>
              <w:jc w:val="both"/>
              <w:rPr>
                <w:rFonts w:eastAsia="Calibri" w:cstheme="minorHAnsi"/>
                <w:szCs w:val="18"/>
              </w:rPr>
            </w:pPr>
            <w:r w:rsidRPr="00901313">
              <w:rPr>
                <w:b/>
                <w:szCs w:val="18"/>
              </w:rPr>
              <w:t>Einholung einer schriftlichen Bestätigung des Leitungsorgans des Instituts</w:t>
            </w:r>
            <w:r w:rsidRPr="00901313">
              <w:t xml:space="preserve">, dass die Ermittlung der Derivate für den Meldebogen allgemein und speziell für die Felder „2C1“, „2C2“ und „2C3“ mit der Bestimmung des Begriffs „Derivate“ im Feld „2C1“ des Meldebogens im Einklang steht. </w:t>
            </w:r>
          </w:p>
        </w:tc>
        <w:tc>
          <w:tcPr>
            <w:tcW w:w="1275" w:type="dxa"/>
            <w:shd w:val="clear" w:color="auto" w:fill="auto"/>
          </w:tcPr>
          <w:p w:rsidRPr="00901313" w:rsidR="00445F86" w:rsidP="004F7F73" w:rsidRDefault="00445F86" w14:paraId="4A2A0A53" w14:textId="64A55688">
            <w:pPr>
              <w:pStyle w:val="ListParagraph"/>
              <w:numPr>
                <w:ilvl w:val="0"/>
                <w:numId w:val="23"/>
              </w:numPr>
              <w:ind w:left="360"/>
              <w:rPr>
                <w:rFonts w:cstheme="minorHAnsi"/>
                <w:szCs w:val="18"/>
              </w:rPr>
            </w:pPr>
            <w:r w:rsidRPr="00901313">
              <w:t>Ja</w:t>
            </w:r>
          </w:p>
          <w:p w:rsidRPr="00901313" w:rsidR="00445F86" w:rsidP="004F7F73" w:rsidRDefault="00445F86" w14:paraId="49DAF3A2" w14:textId="55CB9169">
            <w:pPr>
              <w:pStyle w:val="ListParagraph"/>
              <w:numPr>
                <w:ilvl w:val="0"/>
                <w:numId w:val="23"/>
              </w:numPr>
              <w:ind w:left="360"/>
              <w:rPr>
                <w:rFonts w:cstheme="minorHAnsi"/>
                <w:szCs w:val="18"/>
              </w:rPr>
            </w:pPr>
            <w:r w:rsidRPr="00901313">
              <w:t>Nein</w:t>
            </w:r>
          </w:p>
          <w:p w:rsidRPr="00901313" w:rsidR="00445F86" w:rsidP="004F7F73" w:rsidRDefault="00445F86" w14:paraId="6FC173C0" w14:textId="798D0F12">
            <w:pPr>
              <w:pStyle w:val="ListParagraph"/>
              <w:numPr>
                <w:ilvl w:val="0"/>
                <w:numId w:val="23"/>
              </w:numPr>
              <w:ind w:left="360"/>
              <w:rPr>
                <w:rFonts w:eastAsia="Times New Roman" w:cstheme="minorHAnsi"/>
                <w:color w:val="2E74B5"/>
                <w:szCs w:val="18"/>
              </w:rPr>
            </w:pPr>
            <w:r w:rsidRPr="00901313">
              <w:t>N. z.</w:t>
            </w:r>
          </w:p>
        </w:tc>
        <w:tc>
          <w:tcPr>
            <w:tcW w:w="3402" w:type="dxa"/>
            <w:shd w:val="clear" w:color="auto" w:fill="auto"/>
          </w:tcPr>
          <w:p w:rsidRPr="00901313" w:rsidR="00445F86" w:rsidP="00A526B2" w:rsidRDefault="00445F86" w14:paraId="6B828E26" w14:textId="77777777">
            <w:pPr>
              <w:rPr>
                <w:rFonts w:eastAsia="Calibri" w:cstheme="minorHAnsi"/>
                <w:szCs w:val="18"/>
              </w:rPr>
            </w:pPr>
          </w:p>
        </w:tc>
      </w:tr>
      <w:tr w:rsidRPr="00901313" w:rsidR="00445F86" w:rsidTr="00A526B2" w14:paraId="181BC276" w14:textId="77777777">
        <w:tc>
          <w:tcPr>
            <w:tcW w:w="959" w:type="dxa"/>
            <w:shd w:val="clear" w:color="auto" w:fill="auto"/>
          </w:tcPr>
          <w:p w:rsidRPr="00901313" w:rsidR="00445F86" w:rsidP="00A526B2" w:rsidRDefault="00445F86" w14:paraId="73DADAA5" w14:textId="77777777">
            <w:pPr>
              <w:rPr>
                <w:rFonts w:eastAsia="Calibri" w:cstheme="minorHAnsi"/>
                <w:szCs w:val="18"/>
              </w:rPr>
            </w:pPr>
            <w:r w:rsidRPr="00901313">
              <w:rPr>
                <w:szCs w:val="18"/>
              </w:rPr>
              <w:t>3.2</w:t>
            </w:r>
          </w:p>
        </w:tc>
        <w:tc>
          <w:tcPr>
            <w:tcW w:w="3828" w:type="dxa"/>
            <w:shd w:val="clear" w:color="auto" w:fill="auto"/>
          </w:tcPr>
          <w:p w:rsidRPr="00901313" w:rsidR="00445F86" w:rsidP="0026336B" w:rsidRDefault="00445F86" w14:paraId="2E02E95F" w14:textId="5EE318C5">
            <w:pPr>
              <w:spacing w:after="160" w:line="256" w:lineRule="auto"/>
              <w:contextualSpacing/>
              <w:jc w:val="both"/>
              <w:rPr>
                <w:rFonts w:eastAsia="Calibri" w:cstheme="minorHAnsi"/>
                <w:szCs w:val="18"/>
              </w:rPr>
            </w:pPr>
            <w:r w:rsidRPr="00901313">
              <w:rPr>
                <w:b/>
                <w:szCs w:val="18"/>
              </w:rPr>
              <w:t xml:space="preserve">Einholung des Abgleichs </w:t>
            </w:r>
            <w:r w:rsidRPr="00901313">
              <w:t xml:space="preserve">des Gesamtbetrags des Buchwerts der bilanziellen und außerbilanziellen Verbindlichkeiten aus allen Derivatkontrakten (ohne Kreditderivate) mit den zugrunde liegenden Unterlagen und den Feldern „2C2“ und „2C3“ des Meldebogens. </w:t>
            </w:r>
            <w:r w:rsidRPr="00901313">
              <w:rPr>
                <w:b/>
                <w:szCs w:val="18"/>
              </w:rPr>
              <w:t>Neuberechnung</w:t>
            </w:r>
            <w:r w:rsidRPr="00901313">
              <w:t xml:space="preserve"> des Gesamtbetrags in den Feldern „2C2“ und „2C3“ des Meldebogens. Im Fall mehrerer zugrunde liegender Unterlagen ist der Gesamtbetrag in den Feldern „2C2“ und „2C3“ des Meldebogens anhand der Summen in den einzelnen zugrunde liegenden Unterlagen neu zu berechnen.</w:t>
            </w:r>
          </w:p>
        </w:tc>
        <w:tc>
          <w:tcPr>
            <w:tcW w:w="1275" w:type="dxa"/>
            <w:shd w:val="clear" w:color="auto" w:fill="auto"/>
          </w:tcPr>
          <w:p w:rsidRPr="00901313" w:rsidR="00445F86" w:rsidP="004F7F73" w:rsidRDefault="00445F86" w14:paraId="40BFBE0C" w14:textId="79AEE6E4">
            <w:pPr>
              <w:pStyle w:val="ListParagraph"/>
              <w:numPr>
                <w:ilvl w:val="0"/>
                <w:numId w:val="23"/>
              </w:numPr>
              <w:ind w:left="360"/>
              <w:rPr>
                <w:rFonts w:cstheme="minorHAnsi"/>
                <w:szCs w:val="18"/>
              </w:rPr>
            </w:pPr>
            <w:r w:rsidRPr="00901313">
              <w:t>Ja</w:t>
            </w:r>
          </w:p>
          <w:p w:rsidRPr="00901313" w:rsidR="00445F86" w:rsidP="004F7F73" w:rsidRDefault="00445F86" w14:paraId="16EAB8B7" w14:textId="51DDD18E">
            <w:pPr>
              <w:pStyle w:val="ListParagraph"/>
              <w:numPr>
                <w:ilvl w:val="0"/>
                <w:numId w:val="23"/>
              </w:numPr>
              <w:ind w:left="360"/>
              <w:rPr>
                <w:rFonts w:cstheme="minorHAnsi"/>
                <w:szCs w:val="18"/>
              </w:rPr>
            </w:pPr>
            <w:r w:rsidRPr="00901313">
              <w:t>Nein</w:t>
            </w:r>
          </w:p>
          <w:p w:rsidRPr="00901313" w:rsidR="00445F86" w:rsidP="004F7F73" w:rsidRDefault="00445F86" w14:paraId="45BCFC9A" w14:textId="7F0E5016">
            <w:pPr>
              <w:pStyle w:val="ListParagraph"/>
              <w:numPr>
                <w:ilvl w:val="0"/>
                <w:numId w:val="23"/>
              </w:numPr>
              <w:ind w:left="360"/>
              <w:rPr>
                <w:rFonts w:eastAsia="Calibri" w:cstheme="minorHAnsi"/>
                <w:szCs w:val="18"/>
              </w:rPr>
            </w:pPr>
            <w:r w:rsidRPr="00901313">
              <w:t>N. z.</w:t>
            </w:r>
          </w:p>
        </w:tc>
        <w:tc>
          <w:tcPr>
            <w:tcW w:w="3402" w:type="dxa"/>
            <w:shd w:val="clear" w:color="auto" w:fill="auto"/>
          </w:tcPr>
          <w:p w:rsidRPr="00901313" w:rsidR="00445F86" w:rsidP="00A526B2" w:rsidRDefault="00445F86" w14:paraId="7E337BA7" w14:textId="77777777">
            <w:pPr>
              <w:rPr>
                <w:rFonts w:eastAsia="Calibri" w:cstheme="minorHAnsi"/>
                <w:szCs w:val="18"/>
              </w:rPr>
            </w:pPr>
          </w:p>
        </w:tc>
      </w:tr>
      <w:tr w:rsidRPr="00901313" w:rsidR="00445F86" w:rsidTr="00A526B2" w14:paraId="0D464E72" w14:textId="77777777">
        <w:tc>
          <w:tcPr>
            <w:tcW w:w="959" w:type="dxa"/>
            <w:shd w:val="clear" w:color="auto" w:fill="auto"/>
          </w:tcPr>
          <w:p w:rsidRPr="00901313" w:rsidR="00445F86" w:rsidP="00A526B2" w:rsidRDefault="00445F86" w14:paraId="7BFFE807" w14:textId="77777777">
            <w:pPr>
              <w:rPr>
                <w:rFonts w:eastAsia="Calibri" w:cstheme="minorHAnsi"/>
                <w:szCs w:val="18"/>
              </w:rPr>
            </w:pPr>
            <w:r w:rsidRPr="00901313">
              <w:rPr>
                <w:szCs w:val="18"/>
              </w:rPr>
              <w:t>3.3.1</w:t>
            </w:r>
          </w:p>
        </w:tc>
        <w:tc>
          <w:tcPr>
            <w:tcW w:w="3828" w:type="dxa"/>
            <w:shd w:val="clear" w:color="auto" w:fill="auto"/>
          </w:tcPr>
          <w:p w:rsidRPr="00901313" w:rsidR="00445F86" w:rsidP="00A526B2" w:rsidRDefault="00445F86" w14:paraId="23755978" w14:textId="493A13CF">
            <w:pPr>
              <w:spacing w:after="160" w:line="256" w:lineRule="auto"/>
              <w:contextualSpacing/>
              <w:jc w:val="both"/>
              <w:rPr>
                <w:rFonts w:eastAsia="Calibri" w:cstheme="minorHAnsi"/>
                <w:b/>
                <w:szCs w:val="18"/>
              </w:rPr>
            </w:pPr>
            <w:r w:rsidRPr="00901313">
              <w:rPr>
                <w:b/>
                <w:szCs w:val="18"/>
              </w:rPr>
              <w:t>In Bezug auf den Wert im Feld „2C1“ des Meldebogens:</w:t>
            </w:r>
          </w:p>
          <w:p w:rsidRPr="00901313" w:rsidR="00445F86" w:rsidP="00C878C2" w:rsidRDefault="00445F86" w14:paraId="67F60D0F" w14:textId="5E3E9AB4">
            <w:pPr>
              <w:spacing w:after="160" w:line="256" w:lineRule="auto"/>
              <w:contextualSpacing/>
              <w:jc w:val="both"/>
              <w:rPr>
                <w:rFonts w:eastAsia="Calibri" w:cstheme="minorHAnsi"/>
                <w:b/>
                <w:szCs w:val="18"/>
              </w:rPr>
            </w:pPr>
            <w:r w:rsidRPr="00901313">
              <w:rPr>
                <w:b/>
                <w:szCs w:val="18"/>
              </w:rPr>
              <w:t>Einholung einer schriftlichen Bestätigung des Leitungsorgans des Instituts</w:t>
            </w:r>
            <w:r w:rsidRPr="00901313">
              <w:t xml:space="preserve">, dass das Institut bei der Ermittlung der Nettingvereinbarungen für die Meldedaten im Feld „2C1“ des Meldebogens nur die Vereinbarungen berücksichtigt hat, die an den Stichtagen mit den Bedingungen der </w:t>
            </w:r>
            <w:r w:rsidRPr="00901313">
              <w:rPr>
                <w:b/>
                <w:szCs w:val="18"/>
              </w:rPr>
              <w:t>Leitlinie für 2023</w:t>
            </w:r>
            <w:r w:rsidRPr="00901313">
              <w:t xml:space="preserve"> im Einklang stehen.</w:t>
            </w:r>
          </w:p>
        </w:tc>
        <w:tc>
          <w:tcPr>
            <w:tcW w:w="1275" w:type="dxa"/>
            <w:shd w:val="clear" w:color="auto" w:fill="auto"/>
          </w:tcPr>
          <w:p w:rsidRPr="00901313" w:rsidR="00445F86" w:rsidP="004F7F73" w:rsidRDefault="00445F86" w14:paraId="655FE8B1" w14:textId="5BBCFE35">
            <w:pPr>
              <w:pStyle w:val="ListParagraph"/>
              <w:numPr>
                <w:ilvl w:val="0"/>
                <w:numId w:val="23"/>
              </w:numPr>
              <w:ind w:left="360"/>
              <w:rPr>
                <w:rFonts w:cstheme="minorHAnsi"/>
                <w:szCs w:val="18"/>
              </w:rPr>
            </w:pPr>
            <w:r w:rsidRPr="00901313">
              <w:t>Ja</w:t>
            </w:r>
          </w:p>
          <w:p w:rsidRPr="00901313" w:rsidR="00445F86" w:rsidP="004F7F73" w:rsidRDefault="00445F86" w14:paraId="2B6EABE3" w14:textId="19321013">
            <w:pPr>
              <w:pStyle w:val="ListParagraph"/>
              <w:numPr>
                <w:ilvl w:val="0"/>
                <w:numId w:val="23"/>
              </w:numPr>
              <w:ind w:left="360"/>
              <w:rPr>
                <w:rFonts w:cstheme="minorHAnsi"/>
                <w:szCs w:val="18"/>
              </w:rPr>
            </w:pPr>
            <w:r w:rsidRPr="00901313">
              <w:t>Nein</w:t>
            </w:r>
          </w:p>
          <w:p w:rsidRPr="00901313" w:rsidR="00445F86" w:rsidP="004F7F73" w:rsidRDefault="00445F86" w14:paraId="4FC4F848" w14:textId="698EE1B5">
            <w:pPr>
              <w:pStyle w:val="ListParagraph"/>
              <w:numPr>
                <w:ilvl w:val="0"/>
                <w:numId w:val="23"/>
              </w:numPr>
              <w:ind w:left="360"/>
              <w:rPr>
                <w:rFonts w:eastAsia="Calibri" w:cstheme="minorHAnsi"/>
                <w:szCs w:val="18"/>
              </w:rPr>
            </w:pPr>
            <w:r w:rsidRPr="00901313">
              <w:t>N. z.</w:t>
            </w:r>
          </w:p>
        </w:tc>
        <w:tc>
          <w:tcPr>
            <w:tcW w:w="3402" w:type="dxa"/>
            <w:shd w:val="clear" w:color="auto" w:fill="auto"/>
          </w:tcPr>
          <w:p w:rsidRPr="00901313" w:rsidR="00445F86" w:rsidP="00A526B2" w:rsidRDefault="00445F86" w14:paraId="5275D3AC" w14:textId="77777777">
            <w:pPr>
              <w:rPr>
                <w:rFonts w:eastAsia="Calibri" w:cstheme="minorHAnsi"/>
                <w:szCs w:val="18"/>
              </w:rPr>
            </w:pPr>
          </w:p>
        </w:tc>
      </w:tr>
      <w:tr w:rsidRPr="00901313" w:rsidR="00445F86" w:rsidTr="00A526B2" w14:paraId="7007CFE8" w14:textId="77777777">
        <w:tc>
          <w:tcPr>
            <w:tcW w:w="959" w:type="dxa"/>
            <w:shd w:val="clear" w:color="auto" w:fill="auto"/>
          </w:tcPr>
          <w:p w:rsidRPr="00901313" w:rsidR="00445F86" w:rsidP="00A526B2" w:rsidRDefault="00445F86" w14:paraId="5D3C2089" w14:textId="77777777">
            <w:pPr>
              <w:rPr>
                <w:rFonts w:eastAsia="Calibri" w:cstheme="minorHAnsi"/>
                <w:szCs w:val="18"/>
              </w:rPr>
            </w:pPr>
            <w:r w:rsidRPr="00901313">
              <w:rPr>
                <w:szCs w:val="18"/>
              </w:rPr>
              <w:t>3.3.2</w:t>
            </w:r>
          </w:p>
        </w:tc>
        <w:tc>
          <w:tcPr>
            <w:tcW w:w="3828" w:type="dxa"/>
            <w:shd w:val="clear" w:color="auto" w:fill="auto"/>
          </w:tcPr>
          <w:p w:rsidRPr="00901313" w:rsidR="00445F86" w:rsidP="001F4F09" w:rsidRDefault="00445F86" w14:paraId="66B91FA7" w14:textId="56AAABDC">
            <w:pPr>
              <w:spacing w:after="160" w:line="256" w:lineRule="auto"/>
              <w:contextualSpacing/>
              <w:jc w:val="both"/>
              <w:rPr>
                <w:rFonts w:eastAsia="Calibri" w:cstheme="minorHAnsi"/>
                <w:szCs w:val="18"/>
              </w:rPr>
            </w:pPr>
            <w:r w:rsidRPr="00901313">
              <w:rPr>
                <w:b/>
                <w:szCs w:val="18"/>
              </w:rPr>
              <w:t>Einholung einer schriftlichen Bestätigung des Leitungsorgans des Instituts</w:t>
            </w:r>
            <w:r w:rsidRPr="00901313">
              <w:t xml:space="preserve">, dass alle Verbindlichkeiten aus Derivatkontrakten (nach der Bestimmung im Feld „2C1“ des Meldebogens) entsprechend der Methodik </w:t>
            </w:r>
            <w:r w:rsidRPr="00901313">
              <w:lastRenderedPageBreak/>
              <w:t xml:space="preserve">zur Anpassung der Derivate (Tab. 3 </w:t>
            </w:r>
            <w:r w:rsidRPr="00901313">
              <w:rPr>
                <w:b/>
                <w:szCs w:val="18"/>
              </w:rPr>
              <w:t>Leitlinie für 2023</w:t>
            </w:r>
            <w:r w:rsidRPr="00901313">
              <w:t xml:space="preserve">) an den Stichtagen bewertet wurden; </w:t>
            </w:r>
          </w:p>
        </w:tc>
        <w:tc>
          <w:tcPr>
            <w:tcW w:w="1275" w:type="dxa"/>
            <w:shd w:val="clear" w:color="auto" w:fill="auto"/>
          </w:tcPr>
          <w:p w:rsidRPr="00901313" w:rsidR="00445F86" w:rsidP="004F7F73" w:rsidRDefault="00445F86" w14:paraId="67003B7B" w14:textId="5FFDF38C">
            <w:pPr>
              <w:pStyle w:val="ListParagraph"/>
              <w:numPr>
                <w:ilvl w:val="0"/>
                <w:numId w:val="23"/>
              </w:numPr>
              <w:ind w:left="360"/>
              <w:rPr>
                <w:rFonts w:cstheme="minorHAnsi"/>
                <w:szCs w:val="18"/>
              </w:rPr>
            </w:pPr>
            <w:r w:rsidRPr="00901313">
              <w:lastRenderedPageBreak/>
              <w:t>Ja</w:t>
            </w:r>
          </w:p>
          <w:p w:rsidRPr="00901313" w:rsidR="00445F86" w:rsidP="004F7F73" w:rsidRDefault="00445F86" w14:paraId="0EF6DA84" w14:textId="4C784CF1">
            <w:pPr>
              <w:pStyle w:val="ListParagraph"/>
              <w:numPr>
                <w:ilvl w:val="0"/>
                <w:numId w:val="23"/>
              </w:numPr>
              <w:ind w:left="360"/>
              <w:rPr>
                <w:rFonts w:cstheme="minorHAnsi"/>
                <w:szCs w:val="18"/>
              </w:rPr>
            </w:pPr>
            <w:r w:rsidRPr="00901313">
              <w:t>Nein</w:t>
            </w:r>
          </w:p>
          <w:p w:rsidRPr="00901313" w:rsidR="00445F86" w:rsidP="004F7F73" w:rsidRDefault="00445F86" w14:paraId="2F29C4F5" w14:textId="4511D207">
            <w:pPr>
              <w:pStyle w:val="ListParagraph"/>
              <w:numPr>
                <w:ilvl w:val="0"/>
                <w:numId w:val="23"/>
              </w:numPr>
              <w:ind w:left="360"/>
              <w:rPr>
                <w:rFonts w:eastAsia="Calibri" w:cstheme="minorHAnsi"/>
                <w:szCs w:val="18"/>
              </w:rPr>
            </w:pPr>
            <w:r w:rsidRPr="00901313">
              <w:t>N. z.</w:t>
            </w:r>
          </w:p>
        </w:tc>
        <w:tc>
          <w:tcPr>
            <w:tcW w:w="3402" w:type="dxa"/>
            <w:shd w:val="clear" w:color="auto" w:fill="auto"/>
          </w:tcPr>
          <w:p w:rsidRPr="00901313" w:rsidR="00445F86" w:rsidP="00A526B2" w:rsidRDefault="00445F86" w14:paraId="7075BE06" w14:textId="77777777">
            <w:pPr>
              <w:rPr>
                <w:rFonts w:eastAsia="Calibri" w:cstheme="minorHAnsi"/>
                <w:szCs w:val="18"/>
              </w:rPr>
            </w:pPr>
          </w:p>
        </w:tc>
      </w:tr>
      <w:tr w:rsidRPr="00901313" w:rsidR="00445F86" w:rsidTr="00A526B2" w14:paraId="3E5FFB19" w14:textId="77777777">
        <w:tc>
          <w:tcPr>
            <w:tcW w:w="959" w:type="dxa"/>
            <w:shd w:val="clear" w:color="auto" w:fill="auto"/>
          </w:tcPr>
          <w:p w:rsidRPr="00901313" w:rsidR="00445F86" w:rsidP="00A526B2" w:rsidRDefault="00445F86" w14:paraId="76BFEE7D" w14:textId="77777777">
            <w:pPr>
              <w:rPr>
                <w:rFonts w:eastAsia="Calibri" w:cstheme="minorHAnsi"/>
                <w:szCs w:val="18"/>
              </w:rPr>
            </w:pPr>
            <w:r w:rsidRPr="00901313">
              <w:rPr>
                <w:szCs w:val="18"/>
              </w:rPr>
              <w:t>3.3.3</w:t>
            </w:r>
          </w:p>
        </w:tc>
        <w:tc>
          <w:tcPr>
            <w:tcW w:w="3828" w:type="dxa"/>
            <w:shd w:val="clear" w:color="auto" w:fill="auto"/>
          </w:tcPr>
          <w:p w:rsidRPr="00901313" w:rsidR="00445F86" w:rsidP="00C878C2" w:rsidRDefault="00445F86" w14:paraId="3C2D3150" w14:textId="78CFAB46">
            <w:pPr>
              <w:spacing w:after="160" w:line="256" w:lineRule="auto"/>
              <w:contextualSpacing/>
              <w:jc w:val="both"/>
              <w:rPr>
                <w:rFonts w:eastAsia="Calibri" w:cstheme="minorHAnsi"/>
                <w:b/>
                <w:szCs w:val="18"/>
              </w:rPr>
            </w:pPr>
            <w:r w:rsidRPr="00901313">
              <w:rPr>
                <w:b/>
                <w:szCs w:val="18"/>
              </w:rPr>
              <w:t>Einholung des Abgleichs</w:t>
            </w:r>
            <w:r w:rsidRPr="00901313">
              <w:t xml:space="preserve"> des Gesamtbetrags der Verbindlichkeiten aus allen Derivatkontrakten, die entsprechend der Methodik zur Anpassung der Derivate (Tab. 3 </w:t>
            </w:r>
            <w:r w:rsidRPr="00901313">
              <w:rPr>
                <w:b/>
                <w:szCs w:val="18"/>
              </w:rPr>
              <w:t>Leitlinie für 2023</w:t>
            </w:r>
            <w:r w:rsidRPr="00901313">
              <w:t xml:space="preserve">) bewertet wurden, mit den zugrunde liegenden Unterlagen und Feld „2C1“ des Meldebogens. </w:t>
            </w:r>
            <w:r w:rsidRPr="00901313">
              <w:rPr>
                <w:b/>
                <w:szCs w:val="18"/>
              </w:rPr>
              <w:t>Neuberechnung</w:t>
            </w:r>
            <w:r w:rsidRPr="00901313">
              <w:t xml:space="preserve"> des Gesamtbetrags im Feld „2C1“ des Meldebogens. Im Fall mehrerer zugrunde liegender Unterlagen ist der Gesamtbetrag im Feld „2C1“ des Meldebogens anhand der Summen in den einzelnen zugrunde liegenden Unterlagen neu zu berechnen.</w:t>
            </w:r>
          </w:p>
        </w:tc>
        <w:tc>
          <w:tcPr>
            <w:tcW w:w="1275" w:type="dxa"/>
            <w:shd w:val="clear" w:color="auto" w:fill="auto"/>
          </w:tcPr>
          <w:p w:rsidRPr="00901313" w:rsidR="00445F86" w:rsidP="004F7F73" w:rsidRDefault="00445F86" w14:paraId="2CC9A64D" w14:textId="4B6BACEF">
            <w:pPr>
              <w:pStyle w:val="ListParagraph"/>
              <w:numPr>
                <w:ilvl w:val="0"/>
                <w:numId w:val="23"/>
              </w:numPr>
              <w:ind w:left="360"/>
              <w:rPr>
                <w:rFonts w:cstheme="minorHAnsi"/>
                <w:szCs w:val="18"/>
              </w:rPr>
            </w:pPr>
            <w:r w:rsidRPr="00901313">
              <w:t>Ja</w:t>
            </w:r>
          </w:p>
          <w:p w:rsidRPr="00901313" w:rsidR="00445F86" w:rsidP="004F7F73" w:rsidRDefault="00445F86" w14:paraId="4EFDA273" w14:textId="208AD4A8">
            <w:pPr>
              <w:pStyle w:val="ListParagraph"/>
              <w:numPr>
                <w:ilvl w:val="0"/>
                <w:numId w:val="23"/>
              </w:numPr>
              <w:ind w:left="360"/>
              <w:rPr>
                <w:rFonts w:cstheme="minorHAnsi"/>
                <w:szCs w:val="18"/>
              </w:rPr>
            </w:pPr>
            <w:r w:rsidRPr="00901313">
              <w:t>Nein</w:t>
            </w:r>
          </w:p>
          <w:p w:rsidRPr="00901313" w:rsidR="00445F86" w:rsidP="004F7F73" w:rsidRDefault="00445F86" w14:paraId="734E04BE" w14:textId="511AC00B">
            <w:pPr>
              <w:pStyle w:val="ListParagraph"/>
              <w:numPr>
                <w:ilvl w:val="0"/>
                <w:numId w:val="23"/>
              </w:numPr>
              <w:ind w:left="360"/>
              <w:rPr>
                <w:rFonts w:eastAsia="Calibri" w:cstheme="minorHAnsi"/>
                <w:szCs w:val="18"/>
              </w:rPr>
            </w:pPr>
            <w:r w:rsidRPr="00901313">
              <w:t>N. z.</w:t>
            </w:r>
          </w:p>
        </w:tc>
        <w:tc>
          <w:tcPr>
            <w:tcW w:w="3402" w:type="dxa"/>
            <w:shd w:val="clear" w:color="auto" w:fill="auto"/>
          </w:tcPr>
          <w:p w:rsidRPr="00901313" w:rsidR="00445F86" w:rsidP="00A526B2" w:rsidRDefault="00445F86" w14:paraId="1318ED9A" w14:textId="77777777">
            <w:pPr>
              <w:rPr>
                <w:rFonts w:eastAsia="Calibri" w:cstheme="minorHAnsi"/>
                <w:szCs w:val="18"/>
              </w:rPr>
            </w:pPr>
          </w:p>
        </w:tc>
      </w:tr>
    </w:tbl>
    <w:p w:rsidRPr="00901313" w:rsidR="00445F86" w:rsidP="008A1AA4" w:rsidRDefault="0027713C" w14:paraId="0330B2DF" w14:textId="3C3401E3">
      <w:pPr>
        <w:pStyle w:val="Heading2"/>
        <w:keepNext/>
        <w:rPr>
          <w:b/>
        </w:rPr>
      </w:pPr>
      <w:r w:rsidRPr="00901313">
        <w:rPr>
          <w:b/>
        </w:rPr>
        <w:t>Prüfungshandlungen zu 4: Abzug von Förderdarlehen (nur wenn ein Institut den Abzug von Förderdarlehen in „Abschnitt D“ des Kapitels zu Abzügen des Meldebogens beantragt hat)</w:t>
      </w:r>
    </w:p>
    <w:p w:rsidRPr="00901313" w:rsidR="009D4618" w:rsidP="008A1AA4" w:rsidRDefault="009D4618" w14:paraId="6FBCACD7" w14:textId="77777777">
      <w:pPr>
        <w:keepNext/>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6"/>
        <w:gridCol w:w="4111"/>
        <w:gridCol w:w="1134"/>
        <w:gridCol w:w="3373"/>
      </w:tblGrid>
      <w:tr w:rsidRPr="00901313" w:rsidR="00445F86" w:rsidTr="000F14BF" w14:paraId="69ABE157" w14:textId="77777777">
        <w:trPr>
          <w:trHeight w:val="546"/>
        </w:trPr>
        <w:tc>
          <w:tcPr>
            <w:tcW w:w="846" w:type="dxa"/>
            <w:shd w:val="clear" w:color="auto" w:fill="auto"/>
          </w:tcPr>
          <w:p w:rsidRPr="00901313" w:rsidR="00445F86" w:rsidP="00A526B2" w:rsidRDefault="00445F86" w14:paraId="7E4ABEBE" w14:textId="77777777">
            <w:pPr>
              <w:jc w:val="center"/>
              <w:rPr>
                <w:rFonts w:eastAsia="Calibri" w:cstheme="minorHAnsi"/>
                <w:b/>
                <w:szCs w:val="18"/>
              </w:rPr>
            </w:pPr>
            <w:r w:rsidRPr="00901313">
              <w:rPr>
                <w:b/>
                <w:szCs w:val="18"/>
              </w:rPr>
              <w:t>#</w:t>
            </w:r>
          </w:p>
        </w:tc>
        <w:tc>
          <w:tcPr>
            <w:tcW w:w="4111" w:type="dxa"/>
            <w:shd w:val="clear" w:color="auto" w:fill="auto"/>
          </w:tcPr>
          <w:p w:rsidRPr="00901313" w:rsidR="00445F86" w:rsidP="00A526B2" w:rsidRDefault="00445F86" w14:paraId="148485E6" w14:textId="77777777">
            <w:pPr>
              <w:rPr>
                <w:rFonts w:eastAsia="Calibri" w:cstheme="minorHAnsi"/>
                <w:b/>
                <w:szCs w:val="18"/>
              </w:rPr>
            </w:pPr>
            <w:r w:rsidRPr="00901313">
              <w:rPr>
                <w:b/>
                <w:szCs w:val="18"/>
              </w:rPr>
              <w:t>Prüfungshandlung</w:t>
            </w:r>
          </w:p>
        </w:tc>
        <w:tc>
          <w:tcPr>
            <w:tcW w:w="1134" w:type="dxa"/>
            <w:shd w:val="clear" w:color="auto" w:fill="auto"/>
          </w:tcPr>
          <w:p w:rsidRPr="00901313" w:rsidR="00445F86" w:rsidP="00A526B2" w:rsidRDefault="00445F86" w14:paraId="3B119150" w14:textId="5B21C00D">
            <w:pPr>
              <w:rPr>
                <w:rFonts w:eastAsia="Calibri" w:cstheme="minorHAnsi"/>
                <w:b/>
                <w:szCs w:val="18"/>
              </w:rPr>
            </w:pPr>
            <w:r w:rsidRPr="00901313">
              <w:rPr>
                <w:b/>
                <w:szCs w:val="18"/>
              </w:rPr>
              <w:t xml:space="preserve"> Prüfungsfeststellung</w:t>
            </w:r>
            <w:r w:rsidRPr="00901313" w:rsidR="007477F3">
              <w:rPr>
                <w:rFonts w:eastAsia="Calibri" w:cstheme="minorHAnsi"/>
                <w:szCs w:val="18"/>
                <w:vertAlign w:val="superscript"/>
              </w:rPr>
              <w:footnoteReference w:id="17"/>
            </w:r>
          </w:p>
          <w:p w:rsidRPr="00901313" w:rsidR="00445F86" w:rsidP="00A526B2" w:rsidRDefault="00445F86" w14:paraId="2C006BDA" w14:textId="77777777">
            <w:pPr>
              <w:rPr>
                <w:rFonts w:eastAsia="Calibri" w:cstheme="minorHAnsi"/>
                <w:szCs w:val="18"/>
              </w:rPr>
            </w:pPr>
            <w:r w:rsidRPr="00901313">
              <w:t>(Ja/Nein/N. z.)</w:t>
            </w:r>
          </w:p>
        </w:tc>
        <w:tc>
          <w:tcPr>
            <w:tcW w:w="3373" w:type="dxa"/>
            <w:shd w:val="clear" w:color="auto" w:fill="auto"/>
          </w:tcPr>
          <w:p w:rsidRPr="00901313" w:rsidR="00445F86" w:rsidP="00A526B2" w:rsidRDefault="00445F86" w14:paraId="2736501B" w14:textId="729AE08E">
            <w:pPr>
              <w:rPr>
                <w:rFonts w:eastAsia="Calibri" w:cstheme="minorHAnsi"/>
                <w:b/>
                <w:szCs w:val="18"/>
              </w:rPr>
            </w:pPr>
            <w:r w:rsidRPr="00901313">
              <w:rPr>
                <w:b/>
                <w:szCs w:val="18"/>
              </w:rPr>
              <w:t>Beschreibung der Prüfungsfeststellungen oder/und Kommentare</w:t>
            </w:r>
            <w:r w:rsidRPr="00901313" w:rsidR="0090114E">
              <w:rPr>
                <w:rFonts w:eastAsia="Calibri" w:cstheme="minorHAnsi"/>
                <w:szCs w:val="18"/>
                <w:vertAlign w:val="superscript"/>
              </w:rPr>
              <w:footnoteReference w:id="18"/>
            </w:r>
          </w:p>
        </w:tc>
      </w:tr>
      <w:tr w:rsidRPr="00901313" w:rsidR="00445F86" w:rsidTr="000F14BF" w14:paraId="5D6A1B1E" w14:textId="77777777">
        <w:tc>
          <w:tcPr>
            <w:tcW w:w="846" w:type="dxa"/>
            <w:shd w:val="clear" w:color="auto" w:fill="auto"/>
          </w:tcPr>
          <w:p w:rsidRPr="00901313" w:rsidR="00445F86" w:rsidP="00A526B2" w:rsidRDefault="00445F86" w14:paraId="01F0B607" w14:textId="77777777">
            <w:pPr>
              <w:rPr>
                <w:rFonts w:eastAsia="Calibri" w:cstheme="minorHAnsi"/>
                <w:szCs w:val="18"/>
              </w:rPr>
            </w:pPr>
            <w:r w:rsidRPr="00901313">
              <w:rPr>
                <w:szCs w:val="18"/>
              </w:rPr>
              <w:t>4.1</w:t>
            </w:r>
          </w:p>
        </w:tc>
        <w:tc>
          <w:tcPr>
            <w:tcW w:w="4111" w:type="dxa"/>
            <w:shd w:val="clear" w:color="auto" w:fill="auto"/>
          </w:tcPr>
          <w:p w:rsidRPr="00901313" w:rsidR="00445F86" w:rsidP="00A526B2" w:rsidRDefault="00445F86" w14:paraId="0A83E1D8" w14:textId="77777777">
            <w:pPr>
              <w:jc w:val="both"/>
              <w:rPr>
                <w:rFonts w:eastAsia="Calibri" w:cstheme="minorHAnsi"/>
                <w:b/>
                <w:szCs w:val="18"/>
              </w:rPr>
            </w:pPr>
            <w:r w:rsidRPr="00901313">
              <w:rPr>
                <w:b/>
                <w:szCs w:val="18"/>
                <w:u w:val="single"/>
              </w:rPr>
              <w:t>Nur wenn</w:t>
            </w:r>
            <w:r w:rsidRPr="00901313">
              <w:rPr>
                <w:b/>
                <w:szCs w:val="18"/>
              </w:rPr>
              <w:t xml:space="preserve"> ein Institut den Status einer Förderbank genießt:</w:t>
            </w:r>
          </w:p>
          <w:p w:rsidRPr="00901313" w:rsidR="00445F86" w:rsidP="004F7F73" w:rsidRDefault="00445F86" w14:paraId="007BD0E6" w14:textId="77777777">
            <w:pPr>
              <w:numPr>
                <w:ilvl w:val="0"/>
                <w:numId w:val="13"/>
              </w:numPr>
              <w:spacing w:after="160" w:line="256" w:lineRule="auto"/>
              <w:contextualSpacing/>
              <w:jc w:val="both"/>
              <w:rPr>
                <w:rFonts w:eastAsia="Calibri" w:cstheme="minorHAnsi"/>
                <w:szCs w:val="18"/>
              </w:rPr>
            </w:pPr>
            <w:r w:rsidRPr="00901313">
              <w:rPr>
                <w:b/>
                <w:szCs w:val="18"/>
              </w:rPr>
              <w:t>Einholung der Unterlagen, auf deren Grundlage das Leitungsorgan des Instituts bestätigt hat</w:t>
            </w:r>
            <w:r w:rsidRPr="00901313">
              <w:t>, dass das Unternehmen oder die Stelle von der Zentralregierung oder einer Gebietskörperschaft eines Mitgliedstaats gegründet wurde; und</w:t>
            </w:r>
          </w:p>
          <w:p w:rsidRPr="00901313" w:rsidR="00445F86" w:rsidP="004F7F73" w:rsidRDefault="00445F86" w14:paraId="75F9905A" w14:textId="55F84820">
            <w:pPr>
              <w:numPr>
                <w:ilvl w:val="0"/>
                <w:numId w:val="13"/>
              </w:numPr>
              <w:spacing w:after="160" w:line="256" w:lineRule="auto"/>
              <w:contextualSpacing/>
              <w:jc w:val="both"/>
              <w:rPr>
                <w:rFonts w:eastAsia="Calibri" w:cstheme="minorHAnsi"/>
                <w:szCs w:val="18"/>
              </w:rPr>
            </w:pPr>
            <w:r w:rsidRPr="00901313">
              <w:rPr>
                <w:b/>
                <w:szCs w:val="18"/>
              </w:rPr>
              <w:t xml:space="preserve">Einholung der Unterlagen, auf deren Grundlage das Leitungsorgan des Instituts </w:t>
            </w:r>
            <w:r w:rsidRPr="00901313">
              <w:t xml:space="preserve"> </w:t>
            </w:r>
            <w:r w:rsidRPr="00901313">
              <w:rPr>
                <w:b/>
                <w:szCs w:val="18"/>
              </w:rPr>
              <w:t>bestätigt hat</w:t>
            </w:r>
            <w:r w:rsidRPr="00901313">
              <w:t xml:space="preserve">, dass die in (1.1) genannte Zentralregierung oder Gebietskörperschaft verpflichtet ist, die wirtschaftliche Grundlage des Unternehmens oder der Stelle zu schützen und seine bzw. ihre Existenzfähigkeit während seiner bzw. ihrer gesamten Lebensdauer zu sichern, oder dass mindestens 90 % seiner bzw. ihrer ursprünglichen Finanzierung direkt oder indirekt von der Zentralregierung oder </w:t>
            </w:r>
            <w:r w:rsidRPr="00901313">
              <w:lastRenderedPageBreak/>
              <w:t>Gebietskörperschaft des Mitgliedstaats garantiert wird.</w:t>
            </w:r>
          </w:p>
        </w:tc>
        <w:tc>
          <w:tcPr>
            <w:tcW w:w="1134" w:type="dxa"/>
            <w:shd w:val="clear" w:color="auto" w:fill="auto"/>
          </w:tcPr>
          <w:p w:rsidRPr="00901313" w:rsidR="00445F86" w:rsidP="004F7F73" w:rsidRDefault="00445F86" w14:paraId="0223B650" w14:textId="527DE48C">
            <w:pPr>
              <w:pStyle w:val="ListParagraph"/>
              <w:numPr>
                <w:ilvl w:val="0"/>
                <w:numId w:val="24"/>
              </w:numPr>
              <w:ind w:left="360"/>
              <w:rPr>
                <w:rFonts w:cstheme="minorHAnsi"/>
                <w:szCs w:val="18"/>
              </w:rPr>
            </w:pPr>
            <w:r w:rsidRPr="00901313">
              <w:lastRenderedPageBreak/>
              <w:t>Ja</w:t>
            </w:r>
          </w:p>
          <w:p w:rsidRPr="00901313" w:rsidR="00445F86" w:rsidP="004F7F73" w:rsidRDefault="00445F86" w14:paraId="2F15BC42" w14:textId="28D47B0E">
            <w:pPr>
              <w:pStyle w:val="ListParagraph"/>
              <w:numPr>
                <w:ilvl w:val="0"/>
                <w:numId w:val="24"/>
              </w:numPr>
              <w:ind w:left="360"/>
              <w:rPr>
                <w:rFonts w:cstheme="minorHAnsi"/>
                <w:szCs w:val="18"/>
              </w:rPr>
            </w:pPr>
            <w:r w:rsidRPr="00901313">
              <w:t>Nein</w:t>
            </w:r>
          </w:p>
          <w:p w:rsidRPr="00901313" w:rsidR="00445F86" w:rsidP="004F7F73" w:rsidRDefault="00445F86" w14:paraId="6FE3F55C" w14:textId="4C87F11C">
            <w:pPr>
              <w:pStyle w:val="ListParagraph"/>
              <w:numPr>
                <w:ilvl w:val="0"/>
                <w:numId w:val="24"/>
              </w:numPr>
              <w:ind w:left="360"/>
              <w:rPr>
                <w:rFonts w:eastAsia="Calibri" w:cstheme="minorHAnsi"/>
                <w:szCs w:val="18"/>
              </w:rPr>
            </w:pPr>
            <w:r w:rsidRPr="00901313">
              <w:t>N. z.</w:t>
            </w:r>
          </w:p>
        </w:tc>
        <w:tc>
          <w:tcPr>
            <w:tcW w:w="3373" w:type="dxa"/>
            <w:shd w:val="clear" w:color="auto" w:fill="auto"/>
          </w:tcPr>
          <w:p w:rsidRPr="00901313" w:rsidR="00445F86" w:rsidP="00A526B2" w:rsidRDefault="00445F86" w14:paraId="1748C2E9" w14:textId="77777777">
            <w:pPr>
              <w:rPr>
                <w:rFonts w:eastAsia="Calibri" w:cstheme="minorHAnsi"/>
                <w:szCs w:val="18"/>
              </w:rPr>
            </w:pPr>
          </w:p>
        </w:tc>
      </w:tr>
      <w:tr w:rsidRPr="00901313" w:rsidR="00445F86" w:rsidTr="000F14BF" w14:paraId="2468FFD6" w14:textId="77777777">
        <w:tc>
          <w:tcPr>
            <w:tcW w:w="846" w:type="dxa"/>
            <w:shd w:val="clear" w:color="auto" w:fill="auto"/>
          </w:tcPr>
          <w:p w:rsidRPr="00901313" w:rsidR="00445F86" w:rsidP="00A526B2" w:rsidRDefault="00445F86" w14:paraId="4A9F29C3" w14:textId="77777777">
            <w:pPr>
              <w:rPr>
                <w:rFonts w:eastAsia="Calibri" w:cstheme="minorHAnsi"/>
                <w:szCs w:val="18"/>
              </w:rPr>
            </w:pPr>
            <w:r w:rsidRPr="00901313">
              <w:rPr>
                <w:szCs w:val="18"/>
              </w:rPr>
              <w:t>4.2</w:t>
            </w:r>
          </w:p>
        </w:tc>
        <w:tc>
          <w:tcPr>
            <w:tcW w:w="4111" w:type="dxa"/>
            <w:shd w:val="clear" w:color="auto" w:fill="auto"/>
          </w:tcPr>
          <w:p w:rsidRPr="00901313" w:rsidR="00445F86" w:rsidP="00A526B2" w:rsidRDefault="00445F86" w14:paraId="5711EBD7" w14:textId="77777777">
            <w:pPr>
              <w:spacing w:after="160" w:line="256" w:lineRule="auto"/>
              <w:contextualSpacing/>
              <w:rPr>
                <w:rFonts w:eastAsia="Calibri" w:cstheme="minorHAnsi"/>
                <w:b/>
                <w:szCs w:val="18"/>
              </w:rPr>
            </w:pPr>
            <w:r w:rsidRPr="00901313">
              <w:rPr>
                <w:b/>
                <w:szCs w:val="18"/>
                <w:u w:val="single"/>
              </w:rPr>
              <w:t>Nur wenn</w:t>
            </w:r>
            <w:r w:rsidRPr="00901313">
              <w:rPr>
                <w:b/>
                <w:szCs w:val="18"/>
              </w:rPr>
              <w:t xml:space="preserve"> ein Institut den Status eines vermittelnden Instituts genießt:</w:t>
            </w:r>
          </w:p>
          <w:p w:rsidRPr="00901313" w:rsidR="00445F86" w:rsidP="005B152E" w:rsidRDefault="00445F86" w14:paraId="65917450" w14:textId="1202845F">
            <w:pPr>
              <w:spacing w:after="160" w:line="256" w:lineRule="auto"/>
              <w:contextualSpacing/>
              <w:rPr>
                <w:rFonts w:eastAsia="Calibri" w:cstheme="minorHAnsi"/>
                <w:b/>
                <w:szCs w:val="18"/>
              </w:rPr>
            </w:pPr>
            <w:r w:rsidRPr="00901313">
              <w:rPr>
                <w:b/>
                <w:szCs w:val="18"/>
              </w:rPr>
              <w:t>Einholung einer schriftlichen Bestätigung des Leitungsorgans des Instituts</w:t>
            </w:r>
            <w:r w:rsidRPr="00901313">
              <w:t>, dass die im Feld „3D5“ des Meldebogens angegebenen Förderdarlehen nicht als Kredite an Endkunden ausgereicht werden.</w:t>
            </w:r>
          </w:p>
        </w:tc>
        <w:tc>
          <w:tcPr>
            <w:tcW w:w="1134" w:type="dxa"/>
            <w:shd w:val="clear" w:color="auto" w:fill="auto"/>
          </w:tcPr>
          <w:p w:rsidRPr="00901313" w:rsidR="00445F86" w:rsidP="004F7F73" w:rsidRDefault="00445F86" w14:paraId="18281FC5" w14:textId="7730FAF8">
            <w:pPr>
              <w:pStyle w:val="ListParagraph"/>
              <w:numPr>
                <w:ilvl w:val="0"/>
                <w:numId w:val="24"/>
              </w:numPr>
              <w:ind w:left="360"/>
              <w:rPr>
                <w:rFonts w:cstheme="minorHAnsi"/>
                <w:szCs w:val="18"/>
              </w:rPr>
            </w:pPr>
            <w:r w:rsidRPr="00901313">
              <w:t>Ja</w:t>
            </w:r>
          </w:p>
          <w:p w:rsidRPr="00901313" w:rsidR="00445F86" w:rsidP="004F7F73" w:rsidRDefault="00445F86" w14:paraId="565781F6" w14:textId="3ACF5607">
            <w:pPr>
              <w:pStyle w:val="ListParagraph"/>
              <w:numPr>
                <w:ilvl w:val="0"/>
                <w:numId w:val="24"/>
              </w:numPr>
              <w:ind w:left="360"/>
              <w:rPr>
                <w:rFonts w:cstheme="minorHAnsi"/>
                <w:szCs w:val="18"/>
              </w:rPr>
            </w:pPr>
            <w:r w:rsidRPr="00901313">
              <w:t>Nein</w:t>
            </w:r>
          </w:p>
          <w:p w:rsidRPr="00901313" w:rsidR="00445F86" w:rsidP="004F7F73" w:rsidRDefault="00445F86" w14:paraId="76219973" w14:textId="7BA446EA">
            <w:pPr>
              <w:pStyle w:val="ListParagraph"/>
              <w:numPr>
                <w:ilvl w:val="0"/>
                <w:numId w:val="24"/>
              </w:numPr>
              <w:ind w:left="360"/>
              <w:rPr>
                <w:rFonts w:eastAsia="Calibri" w:cstheme="minorHAnsi"/>
                <w:szCs w:val="18"/>
              </w:rPr>
            </w:pPr>
            <w:r w:rsidRPr="00901313">
              <w:t>N. z.</w:t>
            </w:r>
          </w:p>
        </w:tc>
        <w:tc>
          <w:tcPr>
            <w:tcW w:w="3373" w:type="dxa"/>
            <w:shd w:val="clear" w:color="auto" w:fill="auto"/>
          </w:tcPr>
          <w:p w:rsidRPr="00901313" w:rsidR="00445F86" w:rsidP="00A526B2" w:rsidRDefault="00445F86" w14:paraId="0208BDE1" w14:textId="77777777">
            <w:pPr>
              <w:rPr>
                <w:rFonts w:eastAsia="Calibri" w:cstheme="minorHAnsi"/>
                <w:szCs w:val="18"/>
              </w:rPr>
            </w:pPr>
          </w:p>
        </w:tc>
      </w:tr>
      <w:tr w:rsidRPr="00901313" w:rsidR="00445F86" w:rsidTr="000F14BF" w14:paraId="6B1FE0A9" w14:textId="77777777">
        <w:tc>
          <w:tcPr>
            <w:tcW w:w="846" w:type="dxa"/>
            <w:shd w:val="clear" w:color="auto" w:fill="auto"/>
          </w:tcPr>
          <w:p w:rsidRPr="00901313" w:rsidR="00445F86" w:rsidP="00A526B2" w:rsidRDefault="00445F86" w14:paraId="6B2B76D4" w14:textId="77777777">
            <w:pPr>
              <w:rPr>
                <w:rFonts w:eastAsia="Calibri" w:cstheme="minorHAnsi"/>
                <w:szCs w:val="18"/>
              </w:rPr>
            </w:pPr>
            <w:r w:rsidRPr="00901313">
              <w:rPr>
                <w:szCs w:val="18"/>
              </w:rPr>
              <w:t>4.3</w:t>
            </w:r>
          </w:p>
        </w:tc>
        <w:tc>
          <w:tcPr>
            <w:tcW w:w="4111" w:type="dxa"/>
            <w:shd w:val="clear" w:color="auto" w:fill="auto"/>
          </w:tcPr>
          <w:p w:rsidRPr="00901313" w:rsidR="00445F86" w:rsidP="00A526B2" w:rsidRDefault="00445F86" w14:paraId="7D7A9BCC" w14:textId="059CFA78">
            <w:pPr>
              <w:spacing w:after="160" w:line="256" w:lineRule="auto"/>
              <w:contextualSpacing/>
              <w:jc w:val="both"/>
              <w:rPr>
                <w:rFonts w:eastAsia="Calibri" w:cstheme="minorHAnsi"/>
                <w:szCs w:val="18"/>
              </w:rPr>
            </w:pPr>
            <w:r w:rsidRPr="00901313">
              <w:rPr>
                <w:b/>
                <w:szCs w:val="18"/>
              </w:rPr>
              <w:t>Einholung einer schriftlichen Bestätigung des Leitungsorgans des Instituts</w:t>
            </w:r>
            <w:r w:rsidRPr="00901313">
              <w:t>, dass für die Meldedaten im Feld „3D5“ des Meldebogens die folgende Regel dokumentiert und umgesetzt wurde: Gemäß Artikel 5 Absatz 1 Buchstabe f der Delegierten Verordnung (EU) 2015/63 der Kommission stehen dem Betrag der Verbindlichkeiten im Feld „3D5“ entsprechende (von einer Förderbank) erhaltene Förderdarlehen gegenüber.</w:t>
            </w:r>
          </w:p>
          <w:p w:rsidRPr="00901313" w:rsidR="00445F86" w:rsidP="00A526B2" w:rsidRDefault="00445F86" w14:paraId="63B7D9D1" w14:textId="77777777">
            <w:pPr>
              <w:spacing w:after="160" w:line="256" w:lineRule="auto"/>
              <w:contextualSpacing/>
              <w:jc w:val="both"/>
              <w:rPr>
                <w:rFonts w:eastAsia="Calibri" w:cstheme="minorHAnsi"/>
                <w:b/>
                <w:szCs w:val="18"/>
              </w:rPr>
            </w:pPr>
          </w:p>
        </w:tc>
        <w:tc>
          <w:tcPr>
            <w:tcW w:w="1134" w:type="dxa"/>
            <w:shd w:val="clear" w:color="auto" w:fill="auto"/>
          </w:tcPr>
          <w:p w:rsidRPr="00901313" w:rsidR="00445F86" w:rsidP="004F7F73" w:rsidRDefault="00445F86" w14:paraId="1F2C18BF" w14:textId="584E326E">
            <w:pPr>
              <w:pStyle w:val="ListParagraph"/>
              <w:numPr>
                <w:ilvl w:val="0"/>
                <w:numId w:val="24"/>
              </w:numPr>
              <w:ind w:left="360"/>
              <w:rPr>
                <w:rFonts w:cstheme="minorHAnsi"/>
                <w:szCs w:val="18"/>
              </w:rPr>
            </w:pPr>
            <w:r w:rsidRPr="00901313">
              <w:t>Ja</w:t>
            </w:r>
          </w:p>
          <w:p w:rsidRPr="00901313" w:rsidR="00445F86" w:rsidP="004F7F73" w:rsidRDefault="00445F86" w14:paraId="79BE077D" w14:textId="6E9DF0F0">
            <w:pPr>
              <w:pStyle w:val="ListParagraph"/>
              <w:numPr>
                <w:ilvl w:val="0"/>
                <w:numId w:val="24"/>
              </w:numPr>
              <w:ind w:left="360"/>
              <w:rPr>
                <w:rFonts w:cstheme="minorHAnsi"/>
                <w:szCs w:val="18"/>
              </w:rPr>
            </w:pPr>
            <w:r w:rsidRPr="00901313">
              <w:t>Nein</w:t>
            </w:r>
          </w:p>
          <w:p w:rsidRPr="00901313" w:rsidR="00445F86" w:rsidP="004F7F73" w:rsidRDefault="00445F86" w14:paraId="0A3237C8" w14:textId="488B508A">
            <w:pPr>
              <w:pStyle w:val="ListParagraph"/>
              <w:numPr>
                <w:ilvl w:val="0"/>
                <w:numId w:val="24"/>
              </w:numPr>
              <w:ind w:left="360"/>
              <w:rPr>
                <w:rFonts w:eastAsia="Calibri" w:cstheme="minorHAnsi"/>
                <w:szCs w:val="18"/>
              </w:rPr>
            </w:pPr>
            <w:r w:rsidRPr="00901313">
              <w:t>N. z.</w:t>
            </w:r>
          </w:p>
        </w:tc>
        <w:tc>
          <w:tcPr>
            <w:tcW w:w="3373" w:type="dxa"/>
            <w:shd w:val="clear" w:color="auto" w:fill="auto"/>
          </w:tcPr>
          <w:p w:rsidRPr="00901313" w:rsidR="00445F86" w:rsidP="00A526B2" w:rsidRDefault="00445F86" w14:paraId="4392A063" w14:textId="77777777">
            <w:pPr>
              <w:rPr>
                <w:rFonts w:eastAsia="Calibri" w:cstheme="minorHAnsi"/>
                <w:szCs w:val="18"/>
              </w:rPr>
            </w:pPr>
          </w:p>
        </w:tc>
      </w:tr>
      <w:tr w:rsidRPr="00901313" w:rsidR="00445F86" w:rsidTr="000F14BF" w14:paraId="447724D5" w14:textId="77777777">
        <w:tc>
          <w:tcPr>
            <w:tcW w:w="846" w:type="dxa"/>
            <w:shd w:val="clear" w:color="auto" w:fill="auto"/>
          </w:tcPr>
          <w:p w:rsidRPr="00901313" w:rsidR="00445F86" w:rsidP="00A526B2" w:rsidRDefault="00445F86" w14:paraId="40FAA669" w14:textId="77777777">
            <w:pPr>
              <w:rPr>
                <w:rFonts w:eastAsia="Calibri" w:cstheme="minorHAnsi"/>
                <w:szCs w:val="18"/>
              </w:rPr>
            </w:pPr>
            <w:r w:rsidRPr="00901313">
              <w:rPr>
                <w:szCs w:val="18"/>
              </w:rPr>
              <w:t>4.4</w:t>
            </w:r>
          </w:p>
        </w:tc>
        <w:tc>
          <w:tcPr>
            <w:tcW w:w="4111" w:type="dxa"/>
            <w:shd w:val="clear" w:color="auto" w:fill="auto"/>
          </w:tcPr>
          <w:p w:rsidRPr="00901313" w:rsidR="00445F86" w:rsidP="00A526B2" w:rsidRDefault="00445F86" w14:paraId="6ACEDD16" w14:textId="72418BC8">
            <w:pPr>
              <w:spacing w:after="160" w:line="256" w:lineRule="auto"/>
              <w:contextualSpacing/>
              <w:jc w:val="both"/>
              <w:rPr>
                <w:rFonts w:eastAsia="Calibri" w:cstheme="minorHAnsi"/>
                <w:szCs w:val="18"/>
              </w:rPr>
            </w:pPr>
            <w:r w:rsidRPr="00901313">
              <w:rPr>
                <w:b/>
                <w:szCs w:val="18"/>
              </w:rPr>
              <w:t>Einholung einer schriftlichen Bestätigung des Leitungsorgans des Instituts</w:t>
            </w:r>
            <w:r w:rsidRPr="00901313">
              <w:t>, dass die im Feld „3D5“ des Meldebogens angegebenen Darlehen die folgenden Bedingungen erfüllen:</w:t>
            </w:r>
          </w:p>
          <w:p w:rsidRPr="00901313" w:rsidR="00445F86" w:rsidP="004F7F73" w:rsidRDefault="00445F86" w14:paraId="1D04981F" w14:textId="77777777">
            <w:pPr>
              <w:numPr>
                <w:ilvl w:val="0"/>
                <w:numId w:val="9"/>
              </w:numPr>
              <w:spacing w:after="160" w:line="256" w:lineRule="auto"/>
              <w:contextualSpacing/>
              <w:jc w:val="both"/>
              <w:rPr>
                <w:rFonts w:eastAsia="Calibri" w:cstheme="minorHAnsi"/>
                <w:szCs w:val="18"/>
              </w:rPr>
            </w:pPr>
            <w:r w:rsidRPr="00901313">
              <w:t>Sie werden auf nichtwettbewerblicher Basis gewährt;</w:t>
            </w:r>
          </w:p>
          <w:p w:rsidRPr="00901313" w:rsidR="00445F86" w:rsidP="004F7F73" w:rsidRDefault="00445F86" w14:paraId="544C8BF1" w14:textId="77777777">
            <w:pPr>
              <w:numPr>
                <w:ilvl w:val="0"/>
                <w:numId w:val="9"/>
              </w:numPr>
              <w:spacing w:after="160" w:line="256" w:lineRule="auto"/>
              <w:contextualSpacing/>
              <w:jc w:val="both"/>
              <w:rPr>
                <w:rFonts w:eastAsia="Calibri" w:cstheme="minorHAnsi"/>
                <w:szCs w:val="18"/>
              </w:rPr>
            </w:pPr>
            <w:r w:rsidRPr="00901313">
              <w:t>sie werden auf nichtgewinnorientierter Basis gewährt; und</w:t>
            </w:r>
          </w:p>
          <w:p w:rsidRPr="00901313" w:rsidR="00445F86" w:rsidP="004F7F73" w:rsidRDefault="00445F86" w14:paraId="17A17C9D" w14:textId="77777777">
            <w:pPr>
              <w:numPr>
                <w:ilvl w:val="0"/>
                <w:numId w:val="9"/>
              </w:numPr>
              <w:spacing w:after="160" w:line="256" w:lineRule="auto"/>
              <w:contextualSpacing/>
              <w:jc w:val="both"/>
              <w:rPr>
                <w:rFonts w:eastAsia="Calibri" w:cstheme="minorHAnsi"/>
                <w:szCs w:val="18"/>
              </w:rPr>
            </w:pPr>
            <w:r w:rsidRPr="00901313">
              <w:t>sie unterstützen die Gemeinwohlziele der in (4.1.1) genannten Zentralregierung oder Gebietskörperschaft.</w:t>
            </w:r>
          </w:p>
          <w:p w:rsidRPr="00901313" w:rsidR="00445F86" w:rsidP="00A526B2" w:rsidRDefault="00445F86" w14:paraId="29364145" w14:textId="77777777">
            <w:pPr>
              <w:spacing w:after="160" w:line="256" w:lineRule="auto"/>
              <w:contextualSpacing/>
              <w:jc w:val="both"/>
              <w:rPr>
                <w:rFonts w:eastAsia="Calibri" w:cstheme="minorHAnsi"/>
                <w:b/>
                <w:szCs w:val="18"/>
              </w:rPr>
            </w:pPr>
          </w:p>
        </w:tc>
        <w:tc>
          <w:tcPr>
            <w:tcW w:w="1134" w:type="dxa"/>
            <w:shd w:val="clear" w:color="auto" w:fill="auto"/>
          </w:tcPr>
          <w:p w:rsidRPr="00901313" w:rsidR="00445F86" w:rsidP="004F7F73" w:rsidRDefault="00445F86" w14:paraId="2172AA51" w14:textId="39FF837A">
            <w:pPr>
              <w:pStyle w:val="ListParagraph"/>
              <w:numPr>
                <w:ilvl w:val="0"/>
                <w:numId w:val="24"/>
              </w:numPr>
              <w:ind w:left="360"/>
              <w:rPr>
                <w:rFonts w:cstheme="minorHAnsi"/>
                <w:szCs w:val="18"/>
              </w:rPr>
            </w:pPr>
            <w:r w:rsidRPr="00901313">
              <w:t>Ja</w:t>
            </w:r>
          </w:p>
          <w:p w:rsidRPr="00901313" w:rsidR="00445F86" w:rsidP="004F7F73" w:rsidRDefault="00445F86" w14:paraId="46FCAC62" w14:textId="6383C35F">
            <w:pPr>
              <w:pStyle w:val="ListParagraph"/>
              <w:numPr>
                <w:ilvl w:val="0"/>
                <w:numId w:val="24"/>
              </w:numPr>
              <w:ind w:left="360"/>
              <w:rPr>
                <w:rFonts w:cstheme="minorHAnsi"/>
                <w:szCs w:val="18"/>
              </w:rPr>
            </w:pPr>
            <w:r w:rsidRPr="00901313">
              <w:t>Nein</w:t>
            </w:r>
          </w:p>
          <w:p w:rsidRPr="00901313" w:rsidR="00445F86" w:rsidP="004F7F73" w:rsidRDefault="00445F86" w14:paraId="666E05F7" w14:textId="3A7108F7">
            <w:pPr>
              <w:pStyle w:val="ListParagraph"/>
              <w:numPr>
                <w:ilvl w:val="0"/>
                <w:numId w:val="24"/>
              </w:numPr>
              <w:ind w:left="360"/>
              <w:rPr>
                <w:rFonts w:eastAsia="Calibri" w:cstheme="minorHAnsi"/>
                <w:szCs w:val="18"/>
              </w:rPr>
            </w:pPr>
            <w:r w:rsidRPr="00901313">
              <w:t>N. z.</w:t>
            </w:r>
          </w:p>
        </w:tc>
        <w:tc>
          <w:tcPr>
            <w:tcW w:w="3373" w:type="dxa"/>
            <w:shd w:val="clear" w:color="auto" w:fill="auto"/>
          </w:tcPr>
          <w:p w:rsidRPr="00901313" w:rsidR="00445F86" w:rsidP="00A526B2" w:rsidRDefault="00445F86" w14:paraId="25E7B0D2" w14:textId="77777777">
            <w:pPr>
              <w:rPr>
                <w:rFonts w:eastAsia="Calibri" w:cstheme="minorHAnsi"/>
                <w:szCs w:val="18"/>
              </w:rPr>
            </w:pPr>
          </w:p>
        </w:tc>
      </w:tr>
      <w:tr w:rsidRPr="00901313" w:rsidR="00445F86" w:rsidTr="000F14BF" w14:paraId="636D384D" w14:textId="77777777">
        <w:tc>
          <w:tcPr>
            <w:tcW w:w="846" w:type="dxa"/>
            <w:shd w:val="clear" w:color="auto" w:fill="auto"/>
          </w:tcPr>
          <w:p w:rsidRPr="00901313" w:rsidR="00445F86" w:rsidP="00A526B2" w:rsidRDefault="00445F86" w14:paraId="29CCD03A" w14:textId="77777777">
            <w:pPr>
              <w:rPr>
                <w:rFonts w:eastAsia="Calibri" w:cstheme="minorHAnsi"/>
                <w:szCs w:val="18"/>
              </w:rPr>
            </w:pPr>
            <w:r w:rsidRPr="00901313">
              <w:rPr>
                <w:szCs w:val="18"/>
              </w:rPr>
              <w:t>4.5</w:t>
            </w:r>
          </w:p>
        </w:tc>
        <w:tc>
          <w:tcPr>
            <w:tcW w:w="4111" w:type="dxa"/>
            <w:shd w:val="clear" w:color="auto" w:fill="auto"/>
          </w:tcPr>
          <w:p w:rsidRPr="00901313" w:rsidR="00445F86" w:rsidP="00A526B2" w:rsidRDefault="00445F86" w14:paraId="315D1A89" w14:textId="4FC47DD1">
            <w:pPr>
              <w:spacing w:after="160" w:line="256" w:lineRule="auto"/>
              <w:contextualSpacing/>
              <w:jc w:val="both"/>
              <w:rPr>
                <w:rFonts w:eastAsia="Calibri" w:cstheme="minorHAnsi"/>
                <w:szCs w:val="18"/>
              </w:rPr>
            </w:pPr>
            <w:r w:rsidRPr="00901313">
              <w:rPr>
                <w:b/>
                <w:szCs w:val="18"/>
              </w:rPr>
              <w:t xml:space="preserve">Einholung des Abgleichs </w:t>
            </w:r>
            <w:r w:rsidRPr="00901313">
              <w:t xml:space="preserve">des Gesamtbetrags des Buchwerts der anerkennungsfähigen Verbindlichkeiten aus Förderdarlehen mit den zugrunde liegenden Unterlagen und dem Feld „3D5“ des Meldebogens. </w:t>
            </w:r>
            <w:r w:rsidRPr="00901313">
              <w:rPr>
                <w:b/>
                <w:szCs w:val="18"/>
              </w:rPr>
              <w:t>Neuberechnung</w:t>
            </w:r>
            <w:r w:rsidRPr="00901313">
              <w:t xml:space="preserve"> des Gesamtbetrags im Feld „3D5“ des Meldebogens. Im Fall mehrerer zugrunde liegender Unterlagen ist der Gesamtbetrag im Feld „3D5“ des Meldebogens anhand der Summen in den einzelnen zugrunde liegenden Unterlagen neu zu berechnen.</w:t>
            </w:r>
          </w:p>
          <w:p w:rsidRPr="00901313" w:rsidR="00445F86" w:rsidP="00A526B2" w:rsidRDefault="00445F86" w14:paraId="5BCFCEF6" w14:textId="77777777">
            <w:pPr>
              <w:spacing w:after="160" w:line="256" w:lineRule="auto"/>
              <w:contextualSpacing/>
              <w:jc w:val="both"/>
              <w:rPr>
                <w:rFonts w:eastAsia="Calibri" w:cstheme="minorHAnsi"/>
                <w:b/>
                <w:szCs w:val="18"/>
              </w:rPr>
            </w:pPr>
          </w:p>
        </w:tc>
        <w:tc>
          <w:tcPr>
            <w:tcW w:w="1134" w:type="dxa"/>
            <w:shd w:val="clear" w:color="auto" w:fill="auto"/>
          </w:tcPr>
          <w:p w:rsidRPr="00901313" w:rsidR="00445F86" w:rsidP="004F7F73" w:rsidRDefault="00445F86" w14:paraId="4E43A15D" w14:textId="3FA23CC5">
            <w:pPr>
              <w:pStyle w:val="ListParagraph"/>
              <w:numPr>
                <w:ilvl w:val="0"/>
                <w:numId w:val="25"/>
              </w:numPr>
              <w:ind w:left="360"/>
              <w:rPr>
                <w:rFonts w:cstheme="minorHAnsi"/>
                <w:szCs w:val="18"/>
              </w:rPr>
            </w:pPr>
            <w:r w:rsidRPr="00901313">
              <w:t>Ja</w:t>
            </w:r>
          </w:p>
          <w:p w:rsidRPr="00901313" w:rsidR="00445F86" w:rsidP="004F7F73" w:rsidRDefault="00445F86" w14:paraId="13923924" w14:textId="60C60217">
            <w:pPr>
              <w:pStyle w:val="ListParagraph"/>
              <w:numPr>
                <w:ilvl w:val="0"/>
                <w:numId w:val="25"/>
              </w:numPr>
              <w:ind w:left="360"/>
              <w:rPr>
                <w:rFonts w:cstheme="minorHAnsi"/>
                <w:szCs w:val="18"/>
              </w:rPr>
            </w:pPr>
            <w:r w:rsidRPr="00901313">
              <w:t>Nein</w:t>
            </w:r>
          </w:p>
          <w:p w:rsidRPr="00901313" w:rsidR="00445F86" w:rsidP="004F7F73" w:rsidRDefault="00445F86" w14:paraId="6BA6D113" w14:textId="59DBE9D9">
            <w:pPr>
              <w:pStyle w:val="ListParagraph"/>
              <w:numPr>
                <w:ilvl w:val="0"/>
                <w:numId w:val="25"/>
              </w:numPr>
              <w:ind w:left="360"/>
              <w:rPr>
                <w:rFonts w:eastAsia="Calibri" w:cstheme="minorHAnsi"/>
                <w:szCs w:val="18"/>
              </w:rPr>
            </w:pPr>
            <w:r w:rsidRPr="00901313">
              <w:t>N. z.</w:t>
            </w:r>
          </w:p>
        </w:tc>
        <w:tc>
          <w:tcPr>
            <w:tcW w:w="3373" w:type="dxa"/>
            <w:shd w:val="clear" w:color="auto" w:fill="auto"/>
          </w:tcPr>
          <w:p w:rsidRPr="00901313" w:rsidR="00445F86" w:rsidP="00A526B2" w:rsidRDefault="00445F86" w14:paraId="79AFAC2D" w14:textId="77777777">
            <w:pPr>
              <w:rPr>
                <w:rFonts w:eastAsia="Calibri" w:cstheme="minorHAnsi"/>
                <w:szCs w:val="18"/>
              </w:rPr>
            </w:pPr>
          </w:p>
        </w:tc>
      </w:tr>
    </w:tbl>
    <w:p w:rsidRPr="00901313" w:rsidR="009D4618" w:rsidP="006C5102" w:rsidRDefault="009D4618" w14:paraId="08844D0F" w14:textId="77777777">
      <w:pPr>
        <w:pStyle w:val="Heading2"/>
        <w:rPr>
          <w:b/>
          <w:sz w:val="18"/>
          <w:szCs w:val="18"/>
        </w:rPr>
      </w:pPr>
    </w:p>
    <w:p w:rsidRPr="00901313" w:rsidR="003C1568" w:rsidP="006C5102" w:rsidRDefault="003C1568" w14:paraId="6677834C" w14:textId="77777777">
      <w:pPr>
        <w:pStyle w:val="Heading2"/>
        <w:rPr>
          <w:b/>
        </w:rPr>
      </w:pPr>
    </w:p>
    <w:p w:rsidRPr="00901313" w:rsidR="003C1568" w:rsidP="006C5102" w:rsidRDefault="003C1568" w14:paraId="616CC6DD" w14:textId="77777777">
      <w:pPr>
        <w:pStyle w:val="Heading2"/>
        <w:rPr>
          <w:b/>
        </w:rPr>
      </w:pPr>
    </w:p>
    <w:p w:rsidRPr="00901313" w:rsidR="003C1568" w:rsidP="003C1568" w:rsidRDefault="003C1568" w14:paraId="6C4BEFAB" w14:textId="77777777"/>
    <w:p w:rsidRPr="00901313" w:rsidR="00445F86" w:rsidP="008A1AA4" w:rsidRDefault="00445F86" w14:paraId="7015C8D9" w14:textId="6465FA00">
      <w:pPr>
        <w:pStyle w:val="Heading2"/>
        <w:keepNext/>
        <w:rPr>
          <w:b/>
        </w:rPr>
      </w:pPr>
      <w:r w:rsidRPr="00901313">
        <w:rPr>
          <w:b/>
        </w:rPr>
        <w:t>Prüfungshandlungen zu 5: Abzug im Rahmen von institutsbezogenen Sicherungssystemen (nur wenn ein Institut den Abzug im Rahmen von institutsbezogenen Sicherungssystemen in „Abschnitt E“ des Kapitels zu Abzügen des Meldebogens beantragt hat)</w:t>
      </w:r>
    </w:p>
    <w:p w:rsidRPr="00901313" w:rsidR="00445F86" w:rsidP="008A1AA4" w:rsidRDefault="00445F86" w14:paraId="0EC715BC" w14:textId="77777777">
      <w:pPr>
        <w:keepNext/>
        <w:spacing w:after="160" w:line="256" w:lineRule="auto"/>
        <w:contextualSpacing/>
        <w:jc w:val="both"/>
        <w:rPr>
          <w:rFonts w:eastAsia="Times New Roman" w:cstheme="minorHAnsi"/>
          <w:color w:val="0046AD"/>
          <w:szCs w:val="18"/>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59"/>
        <w:gridCol w:w="4139"/>
        <w:gridCol w:w="1276"/>
        <w:gridCol w:w="3090"/>
      </w:tblGrid>
      <w:tr w:rsidRPr="00901313" w:rsidR="00445F86" w:rsidTr="000F14BF" w14:paraId="7D554E16" w14:textId="77777777">
        <w:trPr>
          <w:trHeight w:val="546"/>
        </w:trPr>
        <w:tc>
          <w:tcPr>
            <w:tcW w:w="959" w:type="dxa"/>
            <w:shd w:val="clear" w:color="auto" w:fill="auto"/>
          </w:tcPr>
          <w:p w:rsidRPr="00901313" w:rsidR="00445F86" w:rsidP="00A526B2" w:rsidRDefault="00445F86" w14:paraId="06998C2A" w14:textId="77777777">
            <w:pPr>
              <w:jc w:val="center"/>
              <w:rPr>
                <w:rFonts w:eastAsia="Calibri" w:cstheme="minorHAnsi"/>
                <w:b/>
                <w:szCs w:val="18"/>
              </w:rPr>
            </w:pPr>
            <w:r w:rsidRPr="00901313">
              <w:rPr>
                <w:b/>
                <w:szCs w:val="18"/>
              </w:rPr>
              <w:t>#</w:t>
            </w:r>
          </w:p>
        </w:tc>
        <w:tc>
          <w:tcPr>
            <w:tcW w:w="4139" w:type="dxa"/>
            <w:shd w:val="clear" w:color="auto" w:fill="auto"/>
          </w:tcPr>
          <w:p w:rsidRPr="00901313" w:rsidR="00445F86" w:rsidP="00A526B2" w:rsidRDefault="00445F86" w14:paraId="4BA2E9F2" w14:textId="77777777">
            <w:pPr>
              <w:rPr>
                <w:rFonts w:eastAsia="Calibri" w:cstheme="minorHAnsi"/>
                <w:b/>
                <w:szCs w:val="18"/>
              </w:rPr>
            </w:pPr>
            <w:r w:rsidRPr="00901313">
              <w:rPr>
                <w:b/>
                <w:szCs w:val="18"/>
              </w:rPr>
              <w:t>Prüfungshandlung</w:t>
            </w:r>
          </w:p>
        </w:tc>
        <w:tc>
          <w:tcPr>
            <w:tcW w:w="1276" w:type="dxa"/>
            <w:shd w:val="clear" w:color="auto" w:fill="auto"/>
          </w:tcPr>
          <w:p w:rsidRPr="00901313" w:rsidR="00445F86" w:rsidP="00A526B2" w:rsidRDefault="00445F86" w14:paraId="43F5B5B7" w14:textId="6FB16D6F">
            <w:pPr>
              <w:rPr>
                <w:rFonts w:eastAsia="Calibri" w:cstheme="minorHAnsi"/>
                <w:b/>
                <w:szCs w:val="18"/>
              </w:rPr>
            </w:pPr>
            <w:r w:rsidRPr="00901313">
              <w:rPr>
                <w:b/>
                <w:szCs w:val="18"/>
              </w:rPr>
              <w:t xml:space="preserve"> Prüfungsfeststellung</w:t>
            </w:r>
            <w:r w:rsidRPr="00901313" w:rsidR="007477F3">
              <w:rPr>
                <w:rFonts w:eastAsia="Calibri" w:cstheme="minorHAnsi"/>
                <w:szCs w:val="18"/>
                <w:vertAlign w:val="superscript"/>
              </w:rPr>
              <w:footnoteReference w:id="19"/>
            </w:r>
          </w:p>
          <w:p w:rsidRPr="00901313" w:rsidR="00445F86" w:rsidP="00A526B2" w:rsidRDefault="00445F86" w14:paraId="44490E4A" w14:textId="77777777">
            <w:pPr>
              <w:rPr>
                <w:rFonts w:eastAsia="Calibri" w:cstheme="minorHAnsi"/>
                <w:szCs w:val="18"/>
              </w:rPr>
            </w:pPr>
            <w:r w:rsidRPr="00901313">
              <w:t>(Ja/Nein/N. z.)</w:t>
            </w:r>
          </w:p>
        </w:tc>
        <w:tc>
          <w:tcPr>
            <w:tcW w:w="3090" w:type="dxa"/>
            <w:shd w:val="clear" w:color="auto" w:fill="auto"/>
          </w:tcPr>
          <w:p w:rsidRPr="00901313" w:rsidR="00445F86" w:rsidP="00A526B2" w:rsidRDefault="00445F86" w14:paraId="41B5FA6F" w14:textId="51D63B83">
            <w:pPr>
              <w:rPr>
                <w:rFonts w:eastAsia="Calibri" w:cstheme="minorHAnsi"/>
                <w:b/>
                <w:szCs w:val="18"/>
              </w:rPr>
            </w:pPr>
            <w:r w:rsidRPr="00901313">
              <w:rPr>
                <w:b/>
                <w:szCs w:val="18"/>
              </w:rPr>
              <w:t>Beschreibung der Prüfungsfeststellungen oder/und Kommentare</w:t>
            </w:r>
            <w:r w:rsidRPr="00901313" w:rsidR="0090114E">
              <w:rPr>
                <w:rFonts w:eastAsia="Calibri" w:cstheme="minorHAnsi"/>
                <w:szCs w:val="18"/>
                <w:vertAlign w:val="superscript"/>
              </w:rPr>
              <w:footnoteReference w:id="20"/>
            </w:r>
          </w:p>
        </w:tc>
      </w:tr>
      <w:tr w:rsidRPr="00901313" w:rsidR="00445F86" w:rsidTr="000F14BF" w14:paraId="2B2D7398" w14:textId="77777777">
        <w:tc>
          <w:tcPr>
            <w:tcW w:w="959" w:type="dxa"/>
            <w:shd w:val="clear" w:color="auto" w:fill="auto"/>
          </w:tcPr>
          <w:p w:rsidRPr="00901313" w:rsidR="00445F86" w:rsidP="00A526B2" w:rsidRDefault="00445F86" w14:paraId="4CA1930F" w14:textId="77777777">
            <w:pPr>
              <w:rPr>
                <w:rFonts w:eastAsia="Calibri" w:cstheme="minorHAnsi"/>
                <w:szCs w:val="18"/>
              </w:rPr>
            </w:pPr>
            <w:r w:rsidRPr="00901313">
              <w:rPr>
                <w:szCs w:val="18"/>
              </w:rPr>
              <w:t>5.1</w:t>
            </w:r>
          </w:p>
        </w:tc>
        <w:tc>
          <w:tcPr>
            <w:tcW w:w="4139" w:type="dxa"/>
            <w:shd w:val="clear" w:color="auto" w:fill="auto"/>
          </w:tcPr>
          <w:p w:rsidRPr="00901313" w:rsidR="00445F86" w:rsidP="00A526B2" w:rsidRDefault="00445F86" w14:paraId="6D938408" w14:textId="77777777">
            <w:pPr>
              <w:spacing w:after="160" w:line="256" w:lineRule="auto"/>
              <w:contextualSpacing/>
              <w:jc w:val="both"/>
              <w:rPr>
                <w:rFonts w:eastAsia="Calibri" w:cstheme="minorHAnsi"/>
                <w:b/>
                <w:szCs w:val="18"/>
              </w:rPr>
            </w:pPr>
            <w:r w:rsidRPr="00901313">
              <w:rPr>
                <w:b/>
                <w:szCs w:val="18"/>
              </w:rPr>
              <w:t>Ermittlung des Anwendungsbereichs der Abzüge im Rahmen von institutsbezogenen Sicherungssystemen:</w:t>
            </w:r>
          </w:p>
          <w:p w:rsidRPr="00901313" w:rsidR="00445F86" w:rsidP="004F7F73" w:rsidRDefault="00445F86" w14:paraId="4F3D2216" w14:textId="77777777">
            <w:pPr>
              <w:numPr>
                <w:ilvl w:val="0"/>
                <w:numId w:val="8"/>
              </w:numPr>
              <w:spacing w:after="160" w:line="256" w:lineRule="auto"/>
              <w:contextualSpacing/>
              <w:jc w:val="both"/>
              <w:rPr>
                <w:rFonts w:eastAsia="Calibri" w:cstheme="minorHAnsi"/>
                <w:szCs w:val="18"/>
              </w:rPr>
            </w:pPr>
            <w:r w:rsidRPr="00901313">
              <w:rPr>
                <w:b/>
                <w:szCs w:val="18"/>
              </w:rPr>
              <w:t>Einholung der Liste der Stellen</w:t>
            </w:r>
            <w:r w:rsidRPr="00901313">
              <w:t>, die die Bedingungen nach Artikel 5 Absatz 1 Buchstabe b der Delegierten Verordnung (EU) 2015/63 der Kommission am relevanten Stichtag erfüllen; und</w:t>
            </w:r>
          </w:p>
          <w:p w:rsidRPr="00901313" w:rsidR="00445F86" w:rsidP="004F7F73" w:rsidRDefault="00445F86" w14:paraId="102E3730" w14:textId="7E7B64DC">
            <w:pPr>
              <w:numPr>
                <w:ilvl w:val="0"/>
                <w:numId w:val="8"/>
              </w:numPr>
              <w:spacing w:line="256" w:lineRule="auto"/>
              <w:contextualSpacing/>
              <w:jc w:val="both"/>
              <w:rPr>
                <w:rFonts w:eastAsia="Calibri" w:cstheme="minorHAnsi"/>
                <w:b/>
                <w:szCs w:val="18"/>
              </w:rPr>
            </w:pPr>
            <w:r w:rsidRPr="00901313">
              <w:rPr>
                <w:b/>
                <w:szCs w:val="18"/>
              </w:rPr>
              <w:t>Einholung einer schriftlichen Bestätigung des Leitungsorgans des Instituts</w:t>
            </w:r>
            <w:r w:rsidRPr="00901313">
              <w:t>, dass nur die in (1) genannten Institute für Abzüge im Rahmen von institutsbezogenen Sicherungssystemen berücksichtigt wurden.</w:t>
            </w:r>
          </w:p>
        </w:tc>
        <w:tc>
          <w:tcPr>
            <w:tcW w:w="1276" w:type="dxa"/>
            <w:shd w:val="clear" w:color="auto" w:fill="auto"/>
          </w:tcPr>
          <w:p w:rsidRPr="00901313" w:rsidR="00445F86" w:rsidP="004F7F73" w:rsidRDefault="00445F86" w14:paraId="5807E1B6" w14:textId="5C51B8C6">
            <w:pPr>
              <w:pStyle w:val="ListParagraph"/>
              <w:numPr>
                <w:ilvl w:val="0"/>
                <w:numId w:val="26"/>
              </w:numPr>
              <w:ind w:left="360"/>
              <w:rPr>
                <w:rFonts w:cstheme="minorHAnsi"/>
                <w:szCs w:val="18"/>
              </w:rPr>
            </w:pPr>
            <w:r w:rsidRPr="00901313">
              <w:t>Ja</w:t>
            </w:r>
          </w:p>
          <w:p w:rsidRPr="00901313" w:rsidR="00445F86" w:rsidP="004F7F73" w:rsidRDefault="00445F86" w14:paraId="416AE293" w14:textId="6F4FCC0E">
            <w:pPr>
              <w:pStyle w:val="ListParagraph"/>
              <w:numPr>
                <w:ilvl w:val="0"/>
                <w:numId w:val="26"/>
              </w:numPr>
              <w:ind w:left="360"/>
              <w:rPr>
                <w:rFonts w:cstheme="minorHAnsi"/>
                <w:szCs w:val="18"/>
              </w:rPr>
            </w:pPr>
            <w:r w:rsidRPr="00901313">
              <w:t>Nein</w:t>
            </w:r>
          </w:p>
          <w:p w:rsidRPr="00901313" w:rsidR="00445F86" w:rsidP="004F7F73" w:rsidRDefault="00445F86" w14:paraId="3C830AFA" w14:textId="70414169">
            <w:pPr>
              <w:pStyle w:val="ListParagraph"/>
              <w:numPr>
                <w:ilvl w:val="0"/>
                <w:numId w:val="26"/>
              </w:numPr>
              <w:ind w:left="360"/>
              <w:rPr>
                <w:rFonts w:eastAsia="Calibri" w:cstheme="minorHAnsi"/>
                <w:szCs w:val="18"/>
              </w:rPr>
            </w:pPr>
            <w:r w:rsidRPr="00901313">
              <w:t>N. z.</w:t>
            </w:r>
          </w:p>
        </w:tc>
        <w:tc>
          <w:tcPr>
            <w:tcW w:w="3090" w:type="dxa"/>
            <w:shd w:val="clear" w:color="auto" w:fill="auto"/>
          </w:tcPr>
          <w:p w:rsidRPr="00901313" w:rsidR="00445F86" w:rsidP="00A526B2" w:rsidRDefault="00445F86" w14:paraId="0A48F00A" w14:textId="77777777">
            <w:pPr>
              <w:rPr>
                <w:rFonts w:eastAsia="Calibri" w:cstheme="minorHAnsi"/>
                <w:szCs w:val="18"/>
              </w:rPr>
            </w:pPr>
          </w:p>
        </w:tc>
      </w:tr>
      <w:tr w:rsidRPr="00901313" w:rsidR="00445F86" w:rsidTr="000F14BF" w14:paraId="551579FA" w14:textId="77777777">
        <w:tc>
          <w:tcPr>
            <w:tcW w:w="959" w:type="dxa"/>
            <w:shd w:val="clear" w:color="auto" w:fill="auto"/>
          </w:tcPr>
          <w:p w:rsidRPr="00901313" w:rsidR="00445F86" w:rsidP="00A526B2" w:rsidRDefault="00445F86" w14:paraId="09B85E65" w14:textId="77777777">
            <w:pPr>
              <w:rPr>
                <w:rFonts w:eastAsia="Calibri" w:cstheme="minorHAnsi"/>
                <w:szCs w:val="18"/>
              </w:rPr>
            </w:pPr>
            <w:r w:rsidRPr="00901313">
              <w:rPr>
                <w:szCs w:val="18"/>
              </w:rPr>
              <w:t>5.2</w:t>
            </w:r>
          </w:p>
        </w:tc>
        <w:tc>
          <w:tcPr>
            <w:tcW w:w="4139" w:type="dxa"/>
            <w:shd w:val="clear" w:color="auto" w:fill="auto"/>
          </w:tcPr>
          <w:p w:rsidRPr="00901313" w:rsidR="00445F86" w:rsidP="00A526B2" w:rsidRDefault="00445F86" w14:paraId="010A09CF" w14:textId="77777777">
            <w:pPr>
              <w:spacing w:after="160" w:line="256" w:lineRule="auto"/>
              <w:contextualSpacing/>
              <w:jc w:val="both"/>
              <w:rPr>
                <w:rFonts w:eastAsia="Calibri" w:cstheme="minorHAnsi"/>
                <w:b/>
                <w:szCs w:val="18"/>
              </w:rPr>
            </w:pPr>
            <w:r w:rsidRPr="00901313">
              <w:rPr>
                <w:b/>
                <w:szCs w:val="18"/>
              </w:rPr>
              <w:t>Abzug der anerkennungsfähigen Verbindlichkeiten und Vermögenswerte im Rahmen von institutsbezogenen Sicherungssystemen:</w:t>
            </w:r>
          </w:p>
          <w:p w:rsidRPr="00901313" w:rsidR="00445F86" w:rsidP="004F7F73" w:rsidRDefault="00445F86" w14:paraId="7926F7C1" w14:textId="7F715A7D">
            <w:pPr>
              <w:numPr>
                <w:ilvl w:val="0"/>
                <w:numId w:val="10"/>
              </w:numPr>
              <w:spacing w:after="160" w:line="256" w:lineRule="auto"/>
              <w:contextualSpacing/>
              <w:jc w:val="both"/>
              <w:rPr>
                <w:rFonts w:eastAsia="Calibri" w:cstheme="minorHAnsi"/>
                <w:szCs w:val="18"/>
              </w:rPr>
            </w:pPr>
            <w:r w:rsidRPr="00901313">
              <w:rPr>
                <w:b/>
                <w:szCs w:val="18"/>
              </w:rPr>
              <w:t>Einholung einer Liste der Verbindlichkeiten und Vermögenswerte im Rahmen von institutsbezogenen Sicherungssystemen</w:t>
            </w:r>
            <w:r w:rsidRPr="00901313">
              <w:t xml:space="preserve"> für die Meldedaten in den Feldern „3E5“ und „3E9“ des Meldebogens am Stichtag und </w:t>
            </w:r>
            <w:r w:rsidRPr="00901313">
              <w:rPr>
                <w:b/>
                <w:szCs w:val="18"/>
              </w:rPr>
              <w:t>Vergleich</w:t>
            </w:r>
            <w:r w:rsidRPr="00901313">
              <w:t xml:space="preserve"> dieser Liste mit der im Rahmen der Prüfungshandlungen eingeholten Liste (1);</w:t>
            </w:r>
          </w:p>
          <w:p w:rsidRPr="00901313" w:rsidR="00445F86" w:rsidP="004F7F73" w:rsidRDefault="00445F86" w14:paraId="66FB91BC" w14:textId="77777777">
            <w:pPr>
              <w:numPr>
                <w:ilvl w:val="0"/>
                <w:numId w:val="10"/>
              </w:numPr>
              <w:spacing w:after="160" w:line="256" w:lineRule="auto"/>
              <w:contextualSpacing/>
              <w:jc w:val="both"/>
              <w:rPr>
                <w:rFonts w:eastAsia="Calibri" w:cstheme="minorHAnsi"/>
                <w:szCs w:val="18"/>
              </w:rPr>
            </w:pPr>
            <w:r w:rsidRPr="00901313">
              <w:rPr>
                <w:b/>
                <w:szCs w:val="18"/>
              </w:rPr>
              <w:t>Einholung einer schriftlichen Bestätigung des Leitungsorgans des Instituts</w:t>
            </w:r>
            <w:r w:rsidRPr="00901313">
              <w:t>, dass die Gegenpartei oder die betreffende Instanz des ordnungsgemäßen Berichtswegs (z. B. das institutsbezogene Sicherungssystem) über die Verbindlichkeiten und Vermögenswerte informiert wurde (2.1);</w:t>
            </w:r>
          </w:p>
          <w:p w:rsidRPr="00901313" w:rsidR="00445F86" w:rsidP="004F7F73" w:rsidRDefault="00445F86" w14:paraId="5C12D0F5" w14:textId="32621DDC">
            <w:pPr>
              <w:numPr>
                <w:ilvl w:val="0"/>
                <w:numId w:val="10"/>
              </w:numPr>
              <w:spacing w:after="160" w:line="256" w:lineRule="auto"/>
              <w:contextualSpacing/>
              <w:jc w:val="both"/>
              <w:rPr>
                <w:rFonts w:eastAsia="Calibri" w:cstheme="minorHAnsi"/>
                <w:szCs w:val="18"/>
              </w:rPr>
            </w:pPr>
            <w:r w:rsidRPr="00901313">
              <w:rPr>
                <w:b/>
                <w:szCs w:val="18"/>
              </w:rPr>
              <w:t xml:space="preserve">Einholung des Abgleichs </w:t>
            </w:r>
            <w:r w:rsidRPr="00901313">
              <w:t xml:space="preserve">des Gesamtbuchwerts der anerkennungsfähigen Verbindlichkeiten im Rahmen von institutsbezogenen Sicherungssystemen mit den zugrunde liegenden Unterlagen und dem Feld „3E5“ </w:t>
            </w:r>
            <w:r w:rsidRPr="00901313">
              <w:lastRenderedPageBreak/>
              <w:t>des Meldebogens.</w:t>
            </w:r>
            <w:r w:rsidRPr="00901313">
              <w:rPr>
                <w:b/>
                <w:szCs w:val="18"/>
              </w:rPr>
              <w:t xml:space="preserve"> Neuberechnung</w:t>
            </w:r>
            <w:r w:rsidRPr="00901313">
              <w:t xml:space="preserve"> des Gesamtbetrags im Feld „3E5“ des Meldebogens. Im Fall mehrerer zugrunde liegender Unterlagen ist der Gesamtbetrag im Feld „3E5“ des Meldebogens anhand der Summen in den einzelnen zugrunde liegenden Unterlagen neu zu berechnen;</w:t>
            </w:r>
          </w:p>
          <w:p w:rsidRPr="00901313" w:rsidR="00445F86" w:rsidP="004F7F73" w:rsidRDefault="00445F86" w14:paraId="58E723EA" w14:textId="690D3F19">
            <w:pPr>
              <w:numPr>
                <w:ilvl w:val="0"/>
                <w:numId w:val="10"/>
              </w:numPr>
              <w:spacing w:after="160" w:line="256" w:lineRule="auto"/>
              <w:contextualSpacing/>
              <w:jc w:val="both"/>
              <w:rPr>
                <w:rFonts w:eastAsia="Calibri" w:cstheme="minorHAnsi"/>
                <w:szCs w:val="18"/>
              </w:rPr>
            </w:pPr>
            <w:r w:rsidRPr="00901313">
              <w:rPr>
                <w:b/>
                <w:szCs w:val="18"/>
              </w:rPr>
              <w:t xml:space="preserve">Einholung des Abgleichs </w:t>
            </w:r>
            <w:r w:rsidRPr="00901313">
              <w:t>des Gesamtbuchwerts der anerkennungsfähigen Forderungen eines Mitglieds in einem institutsbezogenen Sicherungssystem mit den zugrunde liegenden Unterlagen und dem Feld „3E9“ des Meldebogens;</w:t>
            </w:r>
            <w:r w:rsidRPr="00901313">
              <w:rPr>
                <w:b/>
                <w:szCs w:val="18"/>
              </w:rPr>
              <w:t xml:space="preserve"> Neuberechnung</w:t>
            </w:r>
            <w:r w:rsidRPr="00901313">
              <w:t xml:space="preserve"> des Gesamtbetrags im Feld „3E9“ des Meldebogens; und</w:t>
            </w:r>
          </w:p>
          <w:p w:rsidRPr="00901313" w:rsidR="00445F86" w:rsidP="004F7F73" w:rsidRDefault="00445F86" w14:paraId="3659AAD7" w14:textId="77777777">
            <w:pPr>
              <w:numPr>
                <w:ilvl w:val="0"/>
                <w:numId w:val="10"/>
              </w:numPr>
              <w:spacing w:after="160" w:line="256" w:lineRule="auto"/>
              <w:contextualSpacing/>
              <w:jc w:val="both"/>
              <w:rPr>
                <w:rFonts w:eastAsia="Calibri" w:cstheme="minorHAnsi"/>
                <w:szCs w:val="18"/>
              </w:rPr>
            </w:pPr>
            <w:r w:rsidRPr="00901313">
              <w:rPr>
                <w:b/>
                <w:szCs w:val="18"/>
              </w:rPr>
              <w:t>Einholung einer schriftlichen Bestätigung des Leitungsorgans des Instituts</w:t>
            </w:r>
            <w:r w:rsidRPr="00901313">
              <w:t>, dass für die Meldedaten im Feld „3E10“ die folgende Regel dokumentiert und umgesetzt</w:t>
            </w:r>
            <w:r w:rsidRPr="00901313">
              <w:rPr>
                <w:b/>
                <w:szCs w:val="18"/>
              </w:rPr>
              <w:t xml:space="preserve"> </w:t>
            </w:r>
            <w:r w:rsidRPr="00901313">
              <w:t>wurde:</w:t>
            </w:r>
          </w:p>
          <w:p w:rsidRPr="00901313" w:rsidR="00445F86" w:rsidP="004F7F73" w:rsidRDefault="00445F86" w14:paraId="28FBC3FD" w14:textId="77777777">
            <w:pPr>
              <w:numPr>
                <w:ilvl w:val="0"/>
                <w:numId w:val="11"/>
              </w:numPr>
              <w:spacing w:after="160" w:line="256" w:lineRule="auto"/>
              <w:contextualSpacing/>
              <w:jc w:val="both"/>
              <w:rPr>
                <w:rFonts w:eastAsia="Calibri" w:cstheme="minorHAnsi"/>
                <w:szCs w:val="18"/>
              </w:rPr>
            </w:pPr>
            <w:r w:rsidRPr="00901313">
              <w:t>Prüfung, mit welchem Wert die Gegenpartei der Gruppe den Betrag als Verbindlichkeit verbucht hat. Im Fall einer Inkongruenz hat der Wert Vorrang, den die Gegenpartei der Gruppe als Verbindlichkeit verbucht hat.</w:t>
            </w:r>
          </w:p>
          <w:p w:rsidRPr="00901313" w:rsidR="00445F86" w:rsidP="004F7F73" w:rsidRDefault="00445F86" w14:paraId="5D9A7821" w14:textId="2E9AA381">
            <w:pPr>
              <w:numPr>
                <w:ilvl w:val="0"/>
                <w:numId w:val="11"/>
              </w:numPr>
              <w:spacing w:after="160" w:line="256" w:lineRule="auto"/>
              <w:contextualSpacing/>
              <w:jc w:val="both"/>
              <w:rPr>
                <w:rFonts w:eastAsia="Calibri" w:cstheme="minorHAnsi"/>
                <w:b/>
                <w:szCs w:val="18"/>
              </w:rPr>
            </w:pPr>
            <w:r w:rsidRPr="00901313">
              <w:rPr>
                <w:i/>
                <w:szCs w:val="18"/>
              </w:rPr>
              <w:t>Gegebenenfalls</w:t>
            </w:r>
            <w:r w:rsidRPr="00901313">
              <w:t xml:space="preserve"> Anwendung der Methodik zur Anpassung der Derivate (Tab. 3 </w:t>
            </w:r>
            <w:r w:rsidRPr="00901313">
              <w:rPr>
                <w:b/>
                <w:szCs w:val="18"/>
              </w:rPr>
              <w:t>Leitlinie für 2023</w:t>
            </w:r>
            <w:r w:rsidRPr="00901313">
              <w:t xml:space="preserve">) und Prüfung, ob diese dem Wert nach Anwendung der Untergrenze entspricht, der von der Gegenpartei der Gruppe berechnet wurde. Im Fall einer Inkongruenz hat der Wert Vorrang, den die Gegenpartei der Gruppe als Verbindlichkeit berechnet hat. </w:t>
            </w:r>
          </w:p>
        </w:tc>
        <w:tc>
          <w:tcPr>
            <w:tcW w:w="1276" w:type="dxa"/>
            <w:shd w:val="clear" w:color="auto" w:fill="auto"/>
          </w:tcPr>
          <w:p w:rsidRPr="00901313" w:rsidR="00445F86" w:rsidP="004F7F73" w:rsidRDefault="00445F86" w14:paraId="09FF852D" w14:textId="7C5D74D7">
            <w:pPr>
              <w:pStyle w:val="ListParagraph"/>
              <w:numPr>
                <w:ilvl w:val="0"/>
                <w:numId w:val="26"/>
              </w:numPr>
              <w:ind w:left="360"/>
              <w:rPr>
                <w:rFonts w:cstheme="minorHAnsi"/>
                <w:szCs w:val="18"/>
              </w:rPr>
            </w:pPr>
            <w:r w:rsidRPr="00901313">
              <w:lastRenderedPageBreak/>
              <w:t>Ja</w:t>
            </w:r>
          </w:p>
          <w:p w:rsidRPr="00901313" w:rsidR="00445F86" w:rsidP="004F7F73" w:rsidRDefault="00445F86" w14:paraId="2AA4B424" w14:textId="64CC39D3">
            <w:pPr>
              <w:pStyle w:val="ListParagraph"/>
              <w:numPr>
                <w:ilvl w:val="0"/>
                <w:numId w:val="26"/>
              </w:numPr>
              <w:ind w:left="360"/>
              <w:rPr>
                <w:rFonts w:cstheme="minorHAnsi"/>
                <w:szCs w:val="18"/>
              </w:rPr>
            </w:pPr>
            <w:r w:rsidRPr="00901313">
              <w:t>Nein</w:t>
            </w:r>
          </w:p>
          <w:p w:rsidRPr="00901313" w:rsidR="00445F86" w:rsidP="004F7F73" w:rsidRDefault="00445F86" w14:paraId="0B9F83AD" w14:textId="3664C618">
            <w:pPr>
              <w:pStyle w:val="ListParagraph"/>
              <w:numPr>
                <w:ilvl w:val="0"/>
                <w:numId w:val="26"/>
              </w:numPr>
              <w:ind w:left="360"/>
              <w:rPr>
                <w:rFonts w:eastAsia="Calibri" w:cstheme="minorHAnsi"/>
                <w:szCs w:val="18"/>
              </w:rPr>
            </w:pPr>
            <w:r w:rsidRPr="00901313">
              <w:t>N. z.</w:t>
            </w:r>
          </w:p>
        </w:tc>
        <w:tc>
          <w:tcPr>
            <w:tcW w:w="3090" w:type="dxa"/>
            <w:shd w:val="clear" w:color="auto" w:fill="auto"/>
          </w:tcPr>
          <w:p w:rsidRPr="00901313" w:rsidR="00445F86" w:rsidP="00A526B2" w:rsidRDefault="00445F86" w14:paraId="018B38FA" w14:textId="77777777">
            <w:pPr>
              <w:rPr>
                <w:rFonts w:eastAsia="Calibri" w:cstheme="minorHAnsi"/>
                <w:szCs w:val="18"/>
              </w:rPr>
            </w:pPr>
          </w:p>
        </w:tc>
      </w:tr>
    </w:tbl>
    <w:p w:rsidRPr="00901313" w:rsidR="009D4618" w:rsidP="006C5102" w:rsidRDefault="009D4618" w14:paraId="3CB59A37" w14:textId="77777777">
      <w:pPr>
        <w:pStyle w:val="Heading2"/>
        <w:rPr>
          <w:b/>
          <w:sz w:val="18"/>
          <w:szCs w:val="18"/>
        </w:rPr>
      </w:pPr>
    </w:p>
    <w:p w:rsidRPr="00901313" w:rsidR="003C1568" w:rsidP="006C5102" w:rsidRDefault="003C1568" w14:paraId="033735DA" w14:textId="77777777">
      <w:pPr>
        <w:pStyle w:val="Heading2"/>
        <w:rPr>
          <w:b/>
        </w:rPr>
      </w:pPr>
    </w:p>
    <w:p w:rsidRPr="00901313" w:rsidR="00445F86" w:rsidP="008A3BE6" w:rsidRDefault="00445F86" w14:paraId="33F55DA3" w14:textId="65D04D6D">
      <w:pPr>
        <w:pStyle w:val="Heading2"/>
        <w:keepNext/>
        <w:pageBreakBefore/>
        <w:rPr>
          <w:b/>
        </w:rPr>
      </w:pPr>
      <w:r w:rsidRPr="00901313">
        <w:rPr>
          <w:b/>
        </w:rPr>
        <w:lastRenderedPageBreak/>
        <w:t>Prüfungshandlungen zu 6: Gruppeninterne Abzüge (nur wenn ein Institut gruppeninterne Abzüge in „Abschnitt F“ des Kapitels zu Abzügen des Meldebogens beantragt hat)</w:t>
      </w:r>
    </w:p>
    <w:p w:rsidRPr="00901313" w:rsidR="00445F86" w:rsidP="008A1AA4" w:rsidRDefault="00445F86" w14:paraId="67161825" w14:textId="77777777">
      <w:pPr>
        <w:keepNext/>
        <w:rPr>
          <w:rFonts w:eastAsia="Times New Roman" w:cstheme="minorHAnsi"/>
          <w:color w:val="2E74B5"/>
          <w:szCs w:val="18"/>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59"/>
        <w:gridCol w:w="3998"/>
        <w:gridCol w:w="1275"/>
        <w:gridCol w:w="3232"/>
      </w:tblGrid>
      <w:tr w:rsidRPr="00901313" w:rsidR="00445F86" w:rsidTr="006C5102" w14:paraId="160D0A4C" w14:textId="77777777">
        <w:trPr>
          <w:trHeight w:val="546"/>
        </w:trPr>
        <w:tc>
          <w:tcPr>
            <w:tcW w:w="959" w:type="dxa"/>
            <w:shd w:val="clear" w:color="auto" w:fill="auto"/>
          </w:tcPr>
          <w:p w:rsidRPr="00901313" w:rsidR="00445F86" w:rsidP="00A526B2" w:rsidRDefault="00445F86" w14:paraId="55A92CCA" w14:textId="77777777">
            <w:pPr>
              <w:jc w:val="center"/>
              <w:rPr>
                <w:rFonts w:eastAsia="Calibri" w:cstheme="minorHAnsi"/>
                <w:b/>
                <w:szCs w:val="18"/>
              </w:rPr>
            </w:pPr>
            <w:r w:rsidRPr="00901313">
              <w:rPr>
                <w:b/>
                <w:szCs w:val="18"/>
              </w:rPr>
              <w:t>#</w:t>
            </w:r>
          </w:p>
        </w:tc>
        <w:tc>
          <w:tcPr>
            <w:tcW w:w="3998" w:type="dxa"/>
            <w:shd w:val="clear" w:color="auto" w:fill="auto"/>
          </w:tcPr>
          <w:p w:rsidRPr="00901313" w:rsidR="00445F86" w:rsidP="00A526B2" w:rsidRDefault="00445F86" w14:paraId="56282A0E" w14:textId="77777777">
            <w:pPr>
              <w:rPr>
                <w:rFonts w:eastAsia="Calibri" w:cstheme="minorHAnsi"/>
                <w:b/>
                <w:szCs w:val="18"/>
              </w:rPr>
            </w:pPr>
            <w:r w:rsidRPr="00901313">
              <w:rPr>
                <w:b/>
                <w:szCs w:val="18"/>
              </w:rPr>
              <w:t>Prüfungshandlung</w:t>
            </w:r>
          </w:p>
        </w:tc>
        <w:tc>
          <w:tcPr>
            <w:tcW w:w="1275" w:type="dxa"/>
            <w:shd w:val="clear" w:color="auto" w:fill="auto"/>
          </w:tcPr>
          <w:p w:rsidRPr="00901313" w:rsidR="00445F86" w:rsidP="00A526B2" w:rsidRDefault="00445F86" w14:paraId="5DE251C5" w14:textId="2FDC5408">
            <w:pPr>
              <w:rPr>
                <w:rFonts w:eastAsia="Calibri" w:cstheme="minorHAnsi"/>
                <w:b/>
                <w:szCs w:val="18"/>
              </w:rPr>
            </w:pPr>
            <w:r w:rsidRPr="00901313">
              <w:rPr>
                <w:b/>
                <w:szCs w:val="18"/>
              </w:rPr>
              <w:t xml:space="preserve"> Prüfungsfeststellung</w:t>
            </w:r>
            <w:r w:rsidRPr="00901313" w:rsidR="007477F3">
              <w:rPr>
                <w:rFonts w:eastAsia="Calibri" w:cstheme="minorHAnsi"/>
                <w:szCs w:val="18"/>
                <w:vertAlign w:val="superscript"/>
              </w:rPr>
              <w:footnoteReference w:id="21"/>
            </w:r>
          </w:p>
          <w:p w:rsidRPr="00901313" w:rsidR="00445F86" w:rsidP="00A526B2" w:rsidRDefault="00445F86" w14:paraId="4E67E7FA" w14:textId="77777777">
            <w:pPr>
              <w:rPr>
                <w:rFonts w:eastAsia="Calibri" w:cstheme="minorHAnsi"/>
                <w:szCs w:val="18"/>
              </w:rPr>
            </w:pPr>
            <w:r w:rsidRPr="00901313">
              <w:t>(Ja/Nein/N. z.)</w:t>
            </w:r>
          </w:p>
        </w:tc>
        <w:tc>
          <w:tcPr>
            <w:tcW w:w="3232" w:type="dxa"/>
            <w:shd w:val="clear" w:color="auto" w:fill="auto"/>
          </w:tcPr>
          <w:p w:rsidRPr="00901313" w:rsidR="00445F86" w:rsidP="00A526B2" w:rsidRDefault="00445F86" w14:paraId="033B53DD" w14:textId="39006359">
            <w:pPr>
              <w:rPr>
                <w:rFonts w:eastAsia="Calibri" w:cstheme="minorHAnsi"/>
                <w:b/>
                <w:szCs w:val="18"/>
              </w:rPr>
            </w:pPr>
            <w:r w:rsidRPr="00901313">
              <w:rPr>
                <w:b/>
                <w:szCs w:val="18"/>
              </w:rPr>
              <w:t>Beschreibung der Prüfungsfeststellungen oder/und Kommentare</w:t>
            </w:r>
            <w:r w:rsidRPr="00901313" w:rsidR="0090114E">
              <w:rPr>
                <w:rFonts w:eastAsia="Calibri" w:cstheme="minorHAnsi"/>
                <w:szCs w:val="18"/>
                <w:vertAlign w:val="superscript"/>
              </w:rPr>
              <w:footnoteReference w:id="22"/>
            </w:r>
          </w:p>
        </w:tc>
      </w:tr>
      <w:tr w:rsidRPr="00901313" w:rsidR="00445F86" w:rsidTr="006C5102" w14:paraId="3C50128A" w14:textId="77777777">
        <w:tc>
          <w:tcPr>
            <w:tcW w:w="959" w:type="dxa"/>
            <w:shd w:val="clear" w:color="auto" w:fill="auto"/>
          </w:tcPr>
          <w:p w:rsidRPr="00901313" w:rsidR="00445F86" w:rsidP="00A526B2" w:rsidRDefault="00445F86" w14:paraId="0D50C441" w14:textId="77777777">
            <w:pPr>
              <w:rPr>
                <w:rFonts w:eastAsia="Calibri" w:cstheme="minorHAnsi"/>
                <w:szCs w:val="18"/>
              </w:rPr>
            </w:pPr>
            <w:r w:rsidRPr="00901313">
              <w:rPr>
                <w:szCs w:val="18"/>
              </w:rPr>
              <w:t>6.1</w:t>
            </w:r>
          </w:p>
        </w:tc>
        <w:tc>
          <w:tcPr>
            <w:tcW w:w="3998" w:type="dxa"/>
            <w:shd w:val="clear" w:color="auto" w:fill="auto"/>
          </w:tcPr>
          <w:p w:rsidRPr="00901313" w:rsidR="00445F86" w:rsidP="00A526B2" w:rsidRDefault="00445F86" w14:paraId="1AB33728" w14:textId="6562E57B">
            <w:pPr>
              <w:spacing w:after="160" w:line="256" w:lineRule="auto"/>
              <w:contextualSpacing/>
              <w:jc w:val="both"/>
              <w:rPr>
                <w:rFonts w:eastAsia="Calibri" w:cstheme="minorHAnsi"/>
                <w:szCs w:val="18"/>
              </w:rPr>
            </w:pPr>
            <w:r w:rsidRPr="00901313">
              <w:rPr>
                <w:b/>
                <w:szCs w:val="18"/>
              </w:rPr>
              <w:t>Ermittlung des Anwendungsbereichs gruppeninterner Abzüge:</w:t>
            </w:r>
            <w:r w:rsidRPr="00901313">
              <w:t xml:space="preserve"> </w:t>
            </w:r>
          </w:p>
        </w:tc>
        <w:tc>
          <w:tcPr>
            <w:tcW w:w="1275" w:type="dxa"/>
            <w:shd w:val="clear" w:color="auto" w:fill="auto"/>
          </w:tcPr>
          <w:p w:rsidRPr="00901313" w:rsidR="00445F86" w:rsidP="004F7F73" w:rsidRDefault="00445F86" w14:paraId="6857B3C0" w14:textId="5A45B320">
            <w:pPr>
              <w:pStyle w:val="ListParagraph"/>
              <w:numPr>
                <w:ilvl w:val="0"/>
                <w:numId w:val="27"/>
              </w:numPr>
              <w:ind w:left="360"/>
              <w:rPr>
                <w:rFonts w:cstheme="minorHAnsi"/>
                <w:szCs w:val="18"/>
              </w:rPr>
            </w:pPr>
            <w:r w:rsidRPr="00901313">
              <w:t>Ja</w:t>
            </w:r>
          </w:p>
          <w:p w:rsidRPr="00901313" w:rsidR="00445F86" w:rsidP="004F7F73" w:rsidRDefault="00445F86" w14:paraId="0797ABC3" w14:textId="6D269961">
            <w:pPr>
              <w:pStyle w:val="ListParagraph"/>
              <w:numPr>
                <w:ilvl w:val="0"/>
                <w:numId w:val="27"/>
              </w:numPr>
              <w:ind w:left="360"/>
              <w:rPr>
                <w:rFonts w:cstheme="minorHAnsi"/>
                <w:szCs w:val="18"/>
              </w:rPr>
            </w:pPr>
            <w:r w:rsidRPr="00901313">
              <w:t>Nein</w:t>
            </w:r>
          </w:p>
          <w:p w:rsidRPr="00901313" w:rsidR="00445F86" w:rsidP="004F7F73" w:rsidRDefault="00445F86" w14:paraId="60A5179A" w14:textId="04439DB2">
            <w:pPr>
              <w:pStyle w:val="ListParagraph"/>
              <w:numPr>
                <w:ilvl w:val="0"/>
                <w:numId w:val="27"/>
              </w:numPr>
              <w:ind w:left="360"/>
              <w:rPr>
                <w:rFonts w:eastAsia="Calibri" w:cstheme="minorHAnsi"/>
                <w:szCs w:val="18"/>
              </w:rPr>
            </w:pPr>
            <w:r w:rsidRPr="00901313">
              <w:t>N. z.</w:t>
            </w:r>
          </w:p>
        </w:tc>
        <w:tc>
          <w:tcPr>
            <w:tcW w:w="3232" w:type="dxa"/>
            <w:shd w:val="clear" w:color="auto" w:fill="auto"/>
          </w:tcPr>
          <w:p w:rsidRPr="00901313" w:rsidR="00445F86" w:rsidP="00A526B2" w:rsidRDefault="00445F86" w14:paraId="38875EE4" w14:textId="77777777">
            <w:pPr>
              <w:rPr>
                <w:rFonts w:eastAsia="Calibri" w:cstheme="minorHAnsi"/>
                <w:szCs w:val="18"/>
              </w:rPr>
            </w:pPr>
          </w:p>
        </w:tc>
      </w:tr>
      <w:tr w:rsidRPr="00901313" w:rsidR="00445F86" w:rsidTr="006C5102" w14:paraId="5876F145" w14:textId="77777777">
        <w:tc>
          <w:tcPr>
            <w:tcW w:w="959" w:type="dxa"/>
            <w:shd w:val="clear" w:color="auto" w:fill="auto"/>
          </w:tcPr>
          <w:p w:rsidRPr="00901313" w:rsidR="00445F86" w:rsidP="00A526B2" w:rsidRDefault="00445F86" w14:paraId="66E41D6F" w14:textId="77777777">
            <w:pPr>
              <w:rPr>
                <w:rFonts w:eastAsia="Calibri" w:cstheme="minorHAnsi"/>
                <w:szCs w:val="18"/>
              </w:rPr>
            </w:pPr>
            <w:r w:rsidRPr="00901313">
              <w:rPr>
                <w:szCs w:val="18"/>
              </w:rPr>
              <w:t>6.1.1</w:t>
            </w:r>
          </w:p>
        </w:tc>
        <w:tc>
          <w:tcPr>
            <w:tcW w:w="3998" w:type="dxa"/>
            <w:shd w:val="clear" w:color="auto" w:fill="auto"/>
          </w:tcPr>
          <w:p w:rsidRPr="00901313" w:rsidR="00445F86" w:rsidP="00A526B2" w:rsidRDefault="00445F86" w14:paraId="584A1B57" w14:textId="77777777">
            <w:pPr>
              <w:rPr>
                <w:rFonts w:cstheme="minorHAnsi"/>
                <w:szCs w:val="18"/>
              </w:rPr>
            </w:pPr>
            <w:r w:rsidRPr="00901313">
              <w:rPr>
                <w:b/>
                <w:szCs w:val="18"/>
              </w:rPr>
              <w:t>Einholung der Liste der Stellen, die nach Einschätzung des Leitungsorgans des Instituts</w:t>
            </w:r>
            <w:r w:rsidRPr="00901313">
              <w:t xml:space="preserve"> die Bedingungen aus Artikel 5 Absatz 1 Buchstabe a Ziffer iii der Delegierten Verordnung (EU) 2015/63 der Kommission am Stichtag erfüllen.</w:t>
            </w:r>
          </w:p>
        </w:tc>
        <w:tc>
          <w:tcPr>
            <w:tcW w:w="1275" w:type="dxa"/>
            <w:shd w:val="clear" w:color="auto" w:fill="auto"/>
          </w:tcPr>
          <w:p w:rsidRPr="00901313" w:rsidR="00445F86" w:rsidP="004F7F73" w:rsidRDefault="00445F86" w14:paraId="2E07C7A7" w14:textId="4AB92AB5">
            <w:pPr>
              <w:pStyle w:val="ListParagraph"/>
              <w:numPr>
                <w:ilvl w:val="0"/>
                <w:numId w:val="27"/>
              </w:numPr>
              <w:ind w:left="360"/>
              <w:rPr>
                <w:rFonts w:cstheme="minorHAnsi"/>
                <w:szCs w:val="18"/>
              </w:rPr>
            </w:pPr>
            <w:r w:rsidRPr="00901313">
              <w:t>Ja</w:t>
            </w:r>
          </w:p>
          <w:p w:rsidRPr="00901313" w:rsidR="00445F86" w:rsidP="004F7F73" w:rsidRDefault="00445F86" w14:paraId="7B830C7C" w14:textId="19FB3912">
            <w:pPr>
              <w:pStyle w:val="ListParagraph"/>
              <w:numPr>
                <w:ilvl w:val="0"/>
                <w:numId w:val="27"/>
              </w:numPr>
              <w:ind w:left="360"/>
              <w:rPr>
                <w:rFonts w:cstheme="minorHAnsi"/>
                <w:szCs w:val="18"/>
              </w:rPr>
            </w:pPr>
            <w:r w:rsidRPr="00901313">
              <w:t>Nein</w:t>
            </w:r>
          </w:p>
          <w:p w:rsidRPr="00901313" w:rsidR="00445F86" w:rsidP="004F7F73" w:rsidRDefault="00445F86" w14:paraId="6D82E170" w14:textId="1C7E2332">
            <w:pPr>
              <w:pStyle w:val="ListParagraph"/>
              <w:numPr>
                <w:ilvl w:val="0"/>
                <w:numId w:val="27"/>
              </w:numPr>
              <w:ind w:left="360"/>
              <w:rPr>
                <w:rFonts w:cstheme="minorHAnsi"/>
                <w:szCs w:val="18"/>
              </w:rPr>
            </w:pPr>
            <w:r w:rsidRPr="00901313">
              <w:t>N. z.</w:t>
            </w:r>
          </w:p>
        </w:tc>
        <w:tc>
          <w:tcPr>
            <w:tcW w:w="3232" w:type="dxa"/>
            <w:shd w:val="clear" w:color="auto" w:fill="auto"/>
          </w:tcPr>
          <w:p w:rsidRPr="00901313" w:rsidR="00445F86" w:rsidP="00A526B2" w:rsidRDefault="00445F86" w14:paraId="510F7135" w14:textId="77777777">
            <w:pPr>
              <w:rPr>
                <w:rFonts w:eastAsia="Calibri" w:cstheme="minorHAnsi"/>
                <w:szCs w:val="18"/>
              </w:rPr>
            </w:pPr>
          </w:p>
        </w:tc>
      </w:tr>
      <w:tr w:rsidRPr="00901313" w:rsidR="00445F86" w:rsidTr="006C5102" w14:paraId="5CAED7CA" w14:textId="77777777">
        <w:tc>
          <w:tcPr>
            <w:tcW w:w="959" w:type="dxa"/>
            <w:shd w:val="clear" w:color="auto" w:fill="auto"/>
          </w:tcPr>
          <w:p w:rsidRPr="00901313" w:rsidR="00445F86" w:rsidP="00A526B2" w:rsidRDefault="00445F86" w14:paraId="6612B6EF" w14:textId="77777777">
            <w:pPr>
              <w:rPr>
                <w:rFonts w:eastAsia="Calibri" w:cstheme="minorHAnsi"/>
                <w:szCs w:val="18"/>
              </w:rPr>
            </w:pPr>
            <w:r w:rsidRPr="00901313">
              <w:rPr>
                <w:szCs w:val="18"/>
              </w:rPr>
              <w:t>6.1.2</w:t>
            </w:r>
          </w:p>
        </w:tc>
        <w:tc>
          <w:tcPr>
            <w:tcW w:w="3998" w:type="dxa"/>
            <w:shd w:val="clear" w:color="auto" w:fill="auto"/>
          </w:tcPr>
          <w:p w:rsidRPr="00901313" w:rsidR="00445F86" w:rsidP="001E26A9" w:rsidRDefault="00445F86" w14:paraId="79437832" w14:textId="193CF549">
            <w:pPr>
              <w:spacing w:after="160" w:line="256" w:lineRule="auto"/>
              <w:contextualSpacing/>
              <w:jc w:val="both"/>
              <w:rPr>
                <w:rFonts w:eastAsia="Calibri" w:cstheme="minorHAnsi"/>
                <w:b/>
                <w:szCs w:val="18"/>
              </w:rPr>
            </w:pPr>
            <w:r w:rsidRPr="00901313">
              <w:rPr>
                <w:b/>
                <w:szCs w:val="18"/>
              </w:rPr>
              <w:t>Einholung der Liste der Stellen</w:t>
            </w:r>
            <w:r w:rsidRPr="00901313">
              <w:t xml:space="preserve">, die in (1.1) angeführt worden sind und die Bedingungen nach Artikel 5 Absatz 1 Buchstabe a Punkte i) und ii) der Delegierten Verordnung (EU) 2015/63 der Kommission am relevanten Stichtag erfüllen </w:t>
            </w:r>
          </w:p>
        </w:tc>
        <w:tc>
          <w:tcPr>
            <w:tcW w:w="1275" w:type="dxa"/>
            <w:shd w:val="clear" w:color="auto" w:fill="auto"/>
          </w:tcPr>
          <w:p w:rsidRPr="00901313" w:rsidR="00445F86" w:rsidP="004F7F73" w:rsidRDefault="00445F86" w14:paraId="2C670E47" w14:textId="72358174">
            <w:pPr>
              <w:pStyle w:val="ListParagraph"/>
              <w:numPr>
                <w:ilvl w:val="0"/>
                <w:numId w:val="27"/>
              </w:numPr>
              <w:ind w:left="360"/>
              <w:rPr>
                <w:rFonts w:cstheme="minorHAnsi"/>
                <w:szCs w:val="18"/>
              </w:rPr>
            </w:pPr>
            <w:r w:rsidRPr="00901313">
              <w:t>Ja</w:t>
            </w:r>
          </w:p>
          <w:p w:rsidRPr="00901313" w:rsidR="00445F86" w:rsidP="004F7F73" w:rsidRDefault="00445F86" w14:paraId="089B73DE" w14:textId="73DA72FC">
            <w:pPr>
              <w:pStyle w:val="ListParagraph"/>
              <w:numPr>
                <w:ilvl w:val="0"/>
                <w:numId w:val="27"/>
              </w:numPr>
              <w:ind w:left="360"/>
              <w:rPr>
                <w:rFonts w:cstheme="minorHAnsi"/>
                <w:szCs w:val="18"/>
              </w:rPr>
            </w:pPr>
            <w:r w:rsidRPr="00901313">
              <w:t>Nein</w:t>
            </w:r>
          </w:p>
          <w:p w:rsidRPr="00901313" w:rsidR="00445F86" w:rsidP="004F7F73" w:rsidRDefault="00445F86" w14:paraId="4EB8B65B" w14:textId="42BB2D84">
            <w:pPr>
              <w:pStyle w:val="ListParagraph"/>
              <w:numPr>
                <w:ilvl w:val="0"/>
                <w:numId w:val="27"/>
              </w:numPr>
              <w:ind w:left="360"/>
              <w:rPr>
                <w:rFonts w:cstheme="minorHAnsi"/>
                <w:szCs w:val="18"/>
              </w:rPr>
            </w:pPr>
            <w:r w:rsidRPr="00901313">
              <w:t>N. z.</w:t>
            </w:r>
          </w:p>
        </w:tc>
        <w:tc>
          <w:tcPr>
            <w:tcW w:w="3232" w:type="dxa"/>
            <w:shd w:val="clear" w:color="auto" w:fill="auto"/>
          </w:tcPr>
          <w:p w:rsidRPr="00901313" w:rsidR="00445F86" w:rsidP="00A526B2" w:rsidRDefault="00445F86" w14:paraId="1F38AF6E" w14:textId="77777777">
            <w:pPr>
              <w:rPr>
                <w:rFonts w:eastAsia="Calibri" w:cstheme="minorHAnsi"/>
                <w:szCs w:val="18"/>
              </w:rPr>
            </w:pPr>
          </w:p>
        </w:tc>
      </w:tr>
      <w:tr w:rsidRPr="00901313" w:rsidR="00445F86" w:rsidTr="006C5102" w14:paraId="77CFD98A" w14:textId="77777777">
        <w:tc>
          <w:tcPr>
            <w:tcW w:w="959" w:type="dxa"/>
            <w:shd w:val="clear" w:color="auto" w:fill="auto"/>
          </w:tcPr>
          <w:p w:rsidRPr="00901313" w:rsidR="00445F86" w:rsidP="00A526B2" w:rsidRDefault="00445F86" w14:paraId="3A994F81" w14:textId="77777777">
            <w:pPr>
              <w:rPr>
                <w:rFonts w:eastAsia="Calibri" w:cstheme="minorHAnsi"/>
                <w:szCs w:val="18"/>
              </w:rPr>
            </w:pPr>
            <w:r w:rsidRPr="00901313">
              <w:rPr>
                <w:szCs w:val="18"/>
              </w:rPr>
              <w:t>6.1.3</w:t>
            </w:r>
          </w:p>
        </w:tc>
        <w:tc>
          <w:tcPr>
            <w:tcW w:w="3998" w:type="dxa"/>
            <w:shd w:val="clear" w:color="auto" w:fill="auto"/>
          </w:tcPr>
          <w:p w:rsidRPr="00901313" w:rsidR="00445F86" w:rsidP="006C5102" w:rsidRDefault="00445F86" w14:paraId="5BC3D193" w14:textId="2C8F438F">
            <w:pPr>
              <w:spacing w:line="256" w:lineRule="auto"/>
              <w:contextualSpacing/>
              <w:jc w:val="both"/>
              <w:rPr>
                <w:rFonts w:eastAsia="Calibri" w:cstheme="minorHAnsi"/>
                <w:b/>
                <w:szCs w:val="18"/>
              </w:rPr>
            </w:pPr>
            <w:r w:rsidRPr="00901313">
              <w:rPr>
                <w:b/>
                <w:szCs w:val="18"/>
              </w:rPr>
              <w:t>Einholung einer schriftlichen Bestätigung des Leitungsorgans des Instituts</w:t>
            </w:r>
            <w:r w:rsidRPr="00901313">
              <w:t xml:space="preserve">, dass nur die in (6.1.2) genannten Institute für gruppeninterne Abzüge berücksichtigt wurden. </w:t>
            </w:r>
            <w:r w:rsidRPr="00901313">
              <w:rPr>
                <w:b/>
                <w:szCs w:val="18"/>
              </w:rPr>
              <w:t>Einholung des Abgleichs</w:t>
            </w:r>
            <w:r w:rsidRPr="00901313">
              <w:t xml:space="preserve"> der anerkennungsfähigen gruppeninternen Verbindlichkeiten, die sich aus den Derivaten und dem Feld „3F1“ des Meldebogens ergeben.</w:t>
            </w:r>
          </w:p>
        </w:tc>
        <w:tc>
          <w:tcPr>
            <w:tcW w:w="1275" w:type="dxa"/>
            <w:shd w:val="clear" w:color="auto" w:fill="auto"/>
          </w:tcPr>
          <w:p w:rsidRPr="00901313" w:rsidR="004F7F73" w:rsidP="004F7F73" w:rsidRDefault="00445F86" w14:paraId="0764DE47" w14:textId="77777777">
            <w:pPr>
              <w:pStyle w:val="ListParagraph"/>
              <w:numPr>
                <w:ilvl w:val="0"/>
                <w:numId w:val="27"/>
              </w:numPr>
              <w:ind w:left="360"/>
              <w:rPr>
                <w:rFonts w:cstheme="minorHAnsi"/>
                <w:szCs w:val="18"/>
              </w:rPr>
            </w:pPr>
            <w:r w:rsidRPr="00901313">
              <w:t>Ja</w:t>
            </w:r>
          </w:p>
          <w:p w:rsidRPr="00901313" w:rsidR="00445F86" w:rsidP="004F7F73" w:rsidRDefault="00445F86" w14:paraId="33E8B307" w14:textId="2C16F294">
            <w:pPr>
              <w:pStyle w:val="ListParagraph"/>
              <w:numPr>
                <w:ilvl w:val="0"/>
                <w:numId w:val="27"/>
              </w:numPr>
              <w:ind w:left="360"/>
              <w:rPr>
                <w:rFonts w:cstheme="minorHAnsi"/>
                <w:szCs w:val="18"/>
              </w:rPr>
            </w:pPr>
            <w:r w:rsidRPr="00901313">
              <w:t>Nein</w:t>
            </w:r>
          </w:p>
          <w:p w:rsidRPr="00901313" w:rsidR="00445F86" w:rsidP="004F7F73" w:rsidRDefault="00445F86" w14:paraId="0128F136" w14:textId="6BBF3750">
            <w:pPr>
              <w:pStyle w:val="ListParagraph"/>
              <w:numPr>
                <w:ilvl w:val="0"/>
                <w:numId w:val="27"/>
              </w:numPr>
              <w:ind w:left="360"/>
              <w:rPr>
                <w:rFonts w:cstheme="minorHAnsi"/>
                <w:szCs w:val="18"/>
              </w:rPr>
            </w:pPr>
            <w:r w:rsidRPr="00901313">
              <w:t>N. z.</w:t>
            </w:r>
          </w:p>
        </w:tc>
        <w:tc>
          <w:tcPr>
            <w:tcW w:w="3232" w:type="dxa"/>
            <w:shd w:val="clear" w:color="auto" w:fill="auto"/>
          </w:tcPr>
          <w:p w:rsidRPr="00901313" w:rsidR="00445F86" w:rsidP="00A526B2" w:rsidRDefault="00445F86" w14:paraId="1ABA4AAF" w14:textId="77777777">
            <w:pPr>
              <w:rPr>
                <w:rFonts w:eastAsia="Calibri" w:cstheme="minorHAnsi"/>
                <w:szCs w:val="18"/>
              </w:rPr>
            </w:pPr>
          </w:p>
        </w:tc>
      </w:tr>
      <w:tr w:rsidRPr="00901313" w:rsidR="00445F86" w:rsidTr="006C5102" w14:paraId="479871FA" w14:textId="77777777">
        <w:tc>
          <w:tcPr>
            <w:tcW w:w="959" w:type="dxa"/>
            <w:shd w:val="clear" w:color="auto" w:fill="auto"/>
          </w:tcPr>
          <w:p w:rsidRPr="00901313" w:rsidR="00445F86" w:rsidP="00A526B2" w:rsidRDefault="00445F86" w14:paraId="7BD970C9" w14:textId="77777777">
            <w:pPr>
              <w:rPr>
                <w:rFonts w:eastAsia="Calibri" w:cstheme="minorHAnsi"/>
                <w:szCs w:val="18"/>
              </w:rPr>
            </w:pPr>
            <w:r w:rsidRPr="00901313">
              <w:rPr>
                <w:szCs w:val="18"/>
              </w:rPr>
              <w:t>6.2</w:t>
            </w:r>
          </w:p>
        </w:tc>
        <w:tc>
          <w:tcPr>
            <w:tcW w:w="3998" w:type="dxa"/>
            <w:shd w:val="clear" w:color="auto" w:fill="auto"/>
          </w:tcPr>
          <w:p w:rsidRPr="00901313" w:rsidR="00445F86" w:rsidP="006C5102" w:rsidRDefault="00445F86" w14:paraId="37AB3978" w14:textId="40568931">
            <w:pPr>
              <w:spacing w:after="160" w:line="256" w:lineRule="auto"/>
              <w:contextualSpacing/>
              <w:jc w:val="both"/>
              <w:rPr>
                <w:rFonts w:eastAsia="Calibri" w:cstheme="minorHAnsi"/>
                <w:b/>
                <w:szCs w:val="18"/>
              </w:rPr>
            </w:pPr>
            <w:r w:rsidRPr="00901313">
              <w:rPr>
                <w:b/>
                <w:szCs w:val="18"/>
              </w:rPr>
              <w:t>Abzug der anerkennungsfähigen gruppeninternen Forderungen und Verbindlichkeiten:</w:t>
            </w:r>
          </w:p>
        </w:tc>
        <w:tc>
          <w:tcPr>
            <w:tcW w:w="1275" w:type="dxa"/>
            <w:shd w:val="clear" w:color="auto" w:fill="auto"/>
          </w:tcPr>
          <w:p w:rsidRPr="00901313" w:rsidR="00445F86" w:rsidP="004F7F73" w:rsidRDefault="00445F86" w14:paraId="3EC886E9" w14:textId="679CC867">
            <w:pPr>
              <w:pStyle w:val="ListParagraph"/>
              <w:numPr>
                <w:ilvl w:val="0"/>
                <w:numId w:val="27"/>
              </w:numPr>
              <w:ind w:left="360"/>
              <w:rPr>
                <w:rFonts w:cstheme="minorHAnsi"/>
                <w:szCs w:val="18"/>
              </w:rPr>
            </w:pPr>
            <w:r w:rsidRPr="00901313">
              <w:t>Ja</w:t>
            </w:r>
          </w:p>
          <w:p w:rsidRPr="00901313" w:rsidR="00445F86" w:rsidP="004F7F73" w:rsidRDefault="00445F86" w14:paraId="2DEC7C13" w14:textId="35E21A13">
            <w:pPr>
              <w:pStyle w:val="ListParagraph"/>
              <w:numPr>
                <w:ilvl w:val="0"/>
                <w:numId w:val="27"/>
              </w:numPr>
              <w:ind w:left="360"/>
              <w:rPr>
                <w:rFonts w:cstheme="minorHAnsi"/>
                <w:szCs w:val="18"/>
              </w:rPr>
            </w:pPr>
            <w:r w:rsidRPr="00901313">
              <w:t>Nein</w:t>
            </w:r>
          </w:p>
          <w:p w:rsidRPr="00901313" w:rsidR="00445F86" w:rsidP="004F7F73" w:rsidRDefault="00445F86" w14:paraId="6460C02A" w14:textId="037130C5">
            <w:pPr>
              <w:pStyle w:val="ListParagraph"/>
              <w:numPr>
                <w:ilvl w:val="0"/>
                <w:numId w:val="27"/>
              </w:numPr>
              <w:ind w:left="360"/>
              <w:rPr>
                <w:rFonts w:cstheme="minorHAnsi"/>
                <w:szCs w:val="18"/>
              </w:rPr>
            </w:pPr>
            <w:r w:rsidRPr="00901313">
              <w:t>N. z.</w:t>
            </w:r>
          </w:p>
        </w:tc>
        <w:tc>
          <w:tcPr>
            <w:tcW w:w="3232" w:type="dxa"/>
            <w:shd w:val="clear" w:color="auto" w:fill="auto"/>
          </w:tcPr>
          <w:p w:rsidRPr="00901313" w:rsidR="00445F86" w:rsidP="00A526B2" w:rsidRDefault="00445F86" w14:paraId="6EB8EE3C" w14:textId="77777777">
            <w:pPr>
              <w:rPr>
                <w:rFonts w:eastAsia="Calibri" w:cstheme="minorHAnsi"/>
                <w:szCs w:val="18"/>
              </w:rPr>
            </w:pPr>
          </w:p>
        </w:tc>
      </w:tr>
      <w:tr w:rsidRPr="00901313" w:rsidR="00445F86" w:rsidTr="006C5102" w14:paraId="58FF7BE2" w14:textId="77777777">
        <w:tc>
          <w:tcPr>
            <w:tcW w:w="959" w:type="dxa"/>
            <w:shd w:val="clear" w:color="auto" w:fill="auto"/>
          </w:tcPr>
          <w:p w:rsidRPr="00901313" w:rsidR="00445F86" w:rsidP="00A526B2" w:rsidRDefault="00445F86" w14:paraId="3E59592A" w14:textId="77777777">
            <w:pPr>
              <w:rPr>
                <w:rFonts w:eastAsia="Calibri" w:cstheme="minorHAnsi"/>
                <w:szCs w:val="18"/>
              </w:rPr>
            </w:pPr>
            <w:r w:rsidRPr="00901313">
              <w:rPr>
                <w:szCs w:val="18"/>
              </w:rPr>
              <w:t>6.2.1</w:t>
            </w:r>
          </w:p>
        </w:tc>
        <w:tc>
          <w:tcPr>
            <w:tcW w:w="3998" w:type="dxa"/>
            <w:shd w:val="clear" w:color="auto" w:fill="auto"/>
          </w:tcPr>
          <w:p w:rsidRPr="00901313" w:rsidR="00445F86" w:rsidP="007C683B" w:rsidRDefault="00445F86" w14:paraId="19BB0A21" w14:textId="2B7FD519">
            <w:pPr>
              <w:spacing w:after="160" w:line="256" w:lineRule="auto"/>
              <w:contextualSpacing/>
              <w:jc w:val="both"/>
              <w:rPr>
                <w:rFonts w:eastAsia="Calibri" w:cstheme="minorHAnsi"/>
                <w:b/>
                <w:szCs w:val="18"/>
              </w:rPr>
            </w:pPr>
            <w:r w:rsidRPr="00901313">
              <w:rPr>
                <w:b/>
                <w:szCs w:val="18"/>
              </w:rPr>
              <w:t>Einholung einer Liste der gruppeninternen Verbindlichkeiten und Vermögenswerte</w:t>
            </w:r>
            <w:r w:rsidRPr="00901313">
              <w:t xml:space="preserve"> für die Meldedaten in den Feldern „3F5“ und „3F9“ des Meldebogens, aufgeschlüsselt nach Gegenparteien, und </w:t>
            </w:r>
            <w:r w:rsidRPr="00901313">
              <w:rPr>
                <w:b/>
                <w:szCs w:val="18"/>
              </w:rPr>
              <w:t>Vergleich</w:t>
            </w:r>
            <w:r w:rsidRPr="00901313">
              <w:t>, ob die 5 Gegenparteien mit dem höchsten Gesamtbetrag an Verbindlichkeiten und Vermögenswerten in der im Rahmen der Prüfungshandlung eingeholten Liste enthalten sind (6.1.2).</w:t>
            </w:r>
          </w:p>
        </w:tc>
        <w:tc>
          <w:tcPr>
            <w:tcW w:w="1275" w:type="dxa"/>
            <w:shd w:val="clear" w:color="auto" w:fill="auto"/>
          </w:tcPr>
          <w:p w:rsidRPr="00901313" w:rsidR="00445F86" w:rsidP="004F7F73" w:rsidRDefault="00445F86" w14:paraId="37804BBC" w14:textId="3D39700C">
            <w:pPr>
              <w:pStyle w:val="ListParagraph"/>
              <w:numPr>
                <w:ilvl w:val="0"/>
                <w:numId w:val="27"/>
              </w:numPr>
              <w:ind w:left="360"/>
              <w:rPr>
                <w:rFonts w:cstheme="minorHAnsi"/>
                <w:szCs w:val="18"/>
              </w:rPr>
            </w:pPr>
            <w:r w:rsidRPr="00901313">
              <w:t>Ja</w:t>
            </w:r>
          </w:p>
          <w:p w:rsidRPr="00901313" w:rsidR="00445F86" w:rsidP="004F7F73" w:rsidRDefault="00445F86" w14:paraId="4FE64A88" w14:textId="029C519C">
            <w:pPr>
              <w:pStyle w:val="ListParagraph"/>
              <w:numPr>
                <w:ilvl w:val="0"/>
                <w:numId w:val="27"/>
              </w:numPr>
              <w:ind w:left="360"/>
              <w:rPr>
                <w:rFonts w:cstheme="minorHAnsi"/>
                <w:szCs w:val="18"/>
              </w:rPr>
            </w:pPr>
            <w:r w:rsidRPr="00901313">
              <w:t>Nein</w:t>
            </w:r>
          </w:p>
          <w:p w:rsidRPr="00901313" w:rsidR="00445F86" w:rsidP="004F7F73" w:rsidRDefault="00445F86" w14:paraId="50C61813" w14:textId="699B2A1C">
            <w:pPr>
              <w:pStyle w:val="ListParagraph"/>
              <w:numPr>
                <w:ilvl w:val="0"/>
                <w:numId w:val="27"/>
              </w:numPr>
              <w:ind w:left="360"/>
              <w:rPr>
                <w:rFonts w:cstheme="minorHAnsi"/>
                <w:szCs w:val="18"/>
              </w:rPr>
            </w:pPr>
            <w:r w:rsidRPr="00901313">
              <w:t>N. z.</w:t>
            </w:r>
          </w:p>
        </w:tc>
        <w:tc>
          <w:tcPr>
            <w:tcW w:w="3232" w:type="dxa"/>
            <w:shd w:val="clear" w:color="auto" w:fill="auto"/>
          </w:tcPr>
          <w:p w:rsidRPr="00901313" w:rsidR="00445F86" w:rsidP="00A526B2" w:rsidRDefault="00445F86" w14:paraId="5A96747B" w14:textId="77777777">
            <w:pPr>
              <w:rPr>
                <w:rFonts w:eastAsia="Calibri" w:cstheme="minorHAnsi"/>
                <w:szCs w:val="18"/>
              </w:rPr>
            </w:pPr>
          </w:p>
        </w:tc>
      </w:tr>
      <w:tr w:rsidRPr="00901313" w:rsidR="00445F86" w:rsidTr="006C5102" w14:paraId="61391940" w14:textId="77777777">
        <w:tc>
          <w:tcPr>
            <w:tcW w:w="959" w:type="dxa"/>
            <w:shd w:val="clear" w:color="auto" w:fill="auto"/>
          </w:tcPr>
          <w:p w:rsidRPr="00901313" w:rsidR="00445F86" w:rsidP="00A526B2" w:rsidRDefault="00445F86" w14:paraId="5C4067D7" w14:textId="77777777">
            <w:pPr>
              <w:rPr>
                <w:rFonts w:eastAsia="Calibri" w:cstheme="minorHAnsi"/>
                <w:szCs w:val="18"/>
              </w:rPr>
            </w:pPr>
            <w:r w:rsidRPr="00901313">
              <w:rPr>
                <w:szCs w:val="18"/>
              </w:rPr>
              <w:t>6.2.2</w:t>
            </w:r>
          </w:p>
        </w:tc>
        <w:tc>
          <w:tcPr>
            <w:tcW w:w="3998" w:type="dxa"/>
            <w:shd w:val="clear" w:color="auto" w:fill="auto"/>
          </w:tcPr>
          <w:p w:rsidRPr="00901313" w:rsidR="00445F86" w:rsidP="006C5102" w:rsidRDefault="00445F86" w14:paraId="7E8143C8" w14:textId="14A9B669">
            <w:pPr>
              <w:spacing w:after="160" w:line="256" w:lineRule="auto"/>
              <w:contextualSpacing/>
              <w:jc w:val="both"/>
              <w:rPr>
                <w:rFonts w:eastAsia="Calibri" w:cstheme="minorHAnsi"/>
                <w:b/>
                <w:szCs w:val="18"/>
              </w:rPr>
            </w:pPr>
            <w:r w:rsidRPr="00901313">
              <w:rPr>
                <w:b/>
                <w:szCs w:val="18"/>
              </w:rPr>
              <w:t>Einholung einer schriftlichen Bestätigung des Leitungsorgans des Instituts</w:t>
            </w:r>
            <w:r w:rsidRPr="00901313">
              <w:t xml:space="preserve">, dass die Gegenpartei oder die betreffende Instanz des ordnungsgemäßen Berichtswegs (z. B. </w:t>
            </w:r>
            <w:r w:rsidRPr="00901313">
              <w:lastRenderedPageBreak/>
              <w:t>Muttergesellschaft) über die Verbindlichkeiten und Vermögenswerte unter (6.2.1) informiert wurde.</w:t>
            </w:r>
          </w:p>
        </w:tc>
        <w:tc>
          <w:tcPr>
            <w:tcW w:w="1275" w:type="dxa"/>
            <w:shd w:val="clear" w:color="auto" w:fill="auto"/>
          </w:tcPr>
          <w:p w:rsidRPr="00901313" w:rsidR="00445F86" w:rsidP="004F7F73" w:rsidRDefault="00445F86" w14:paraId="401248BE" w14:textId="42DB6962">
            <w:pPr>
              <w:pStyle w:val="ListParagraph"/>
              <w:numPr>
                <w:ilvl w:val="0"/>
                <w:numId w:val="27"/>
              </w:numPr>
              <w:ind w:left="360"/>
              <w:rPr>
                <w:rFonts w:cstheme="minorHAnsi"/>
                <w:szCs w:val="18"/>
              </w:rPr>
            </w:pPr>
            <w:r w:rsidRPr="00901313">
              <w:lastRenderedPageBreak/>
              <w:t>Ja</w:t>
            </w:r>
          </w:p>
          <w:p w:rsidRPr="00901313" w:rsidR="00445F86" w:rsidP="004F7F73" w:rsidRDefault="00445F86" w14:paraId="187D68E2" w14:textId="48FABE99">
            <w:pPr>
              <w:pStyle w:val="ListParagraph"/>
              <w:numPr>
                <w:ilvl w:val="0"/>
                <w:numId w:val="27"/>
              </w:numPr>
              <w:ind w:left="360"/>
              <w:rPr>
                <w:rFonts w:cstheme="minorHAnsi"/>
                <w:szCs w:val="18"/>
              </w:rPr>
            </w:pPr>
            <w:r w:rsidRPr="00901313">
              <w:t>Nein</w:t>
            </w:r>
          </w:p>
          <w:p w:rsidRPr="00901313" w:rsidR="00445F86" w:rsidP="004F7F73" w:rsidRDefault="00445F86" w14:paraId="1E2D60FF" w14:textId="3A592B11">
            <w:pPr>
              <w:pStyle w:val="ListParagraph"/>
              <w:numPr>
                <w:ilvl w:val="0"/>
                <w:numId w:val="27"/>
              </w:numPr>
              <w:ind w:left="360"/>
              <w:rPr>
                <w:rFonts w:cstheme="minorHAnsi"/>
                <w:szCs w:val="18"/>
              </w:rPr>
            </w:pPr>
            <w:r w:rsidRPr="00901313">
              <w:t>N. z.</w:t>
            </w:r>
          </w:p>
        </w:tc>
        <w:tc>
          <w:tcPr>
            <w:tcW w:w="3232" w:type="dxa"/>
            <w:shd w:val="clear" w:color="auto" w:fill="auto"/>
          </w:tcPr>
          <w:p w:rsidRPr="00901313" w:rsidR="00445F86" w:rsidP="00A526B2" w:rsidRDefault="00445F86" w14:paraId="4DEEE7A2" w14:textId="77777777">
            <w:pPr>
              <w:rPr>
                <w:rFonts w:eastAsia="Calibri" w:cstheme="minorHAnsi"/>
                <w:szCs w:val="18"/>
              </w:rPr>
            </w:pPr>
          </w:p>
        </w:tc>
      </w:tr>
      <w:tr w:rsidRPr="00901313" w:rsidR="00445F86" w:rsidTr="006C5102" w14:paraId="74A0C784" w14:textId="77777777">
        <w:tc>
          <w:tcPr>
            <w:tcW w:w="959" w:type="dxa"/>
            <w:shd w:val="clear" w:color="auto" w:fill="auto"/>
          </w:tcPr>
          <w:p w:rsidRPr="00901313" w:rsidR="00445F86" w:rsidP="00A526B2" w:rsidRDefault="00445F86" w14:paraId="668A9F90" w14:textId="77777777">
            <w:pPr>
              <w:rPr>
                <w:rFonts w:eastAsia="Calibri" w:cstheme="minorHAnsi"/>
                <w:szCs w:val="18"/>
              </w:rPr>
            </w:pPr>
            <w:r w:rsidRPr="00901313">
              <w:rPr>
                <w:szCs w:val="18"/>
              </w:rPr>
              <w:t>6.2.3</w:t>
            </w:r>
          </w:p>
        </w:tc>
        <w:tc>
          <w:tcPr>
            <w:tcW w:w="3998" w:type="dxa"/>
            <w:shd w:val="clear" w:color="auto" w:fill="auto"/>
          </w:tcPr>
          <w:p w:rsidRPr="00901313" w:rsidR="00445F86" w:rsidP="007C683B" w:rsidRDefault="00445F86" w14:paraId="114472C3" w14:textId="44AC00F0">
            <w:pPr>
              <w:spacing w:after="160" w:line="256" w:lineRule="auto"/>
              <w:contextualSpacing/>
              <w:jc w:val="both"/>
              <w:rPr>
                <w:rFonts w:eastAsia="Calibri" w:cstheme="minorHAnsi"/>
                <w:b/>
                <w:szCs w:val="18"/>
              </w:rPr>
            </w:pPr>
            <w:r w:rsidRPr="00901313">
              <w:rPr>
                <w:b/>
                <w:szCs w:val="18"/>
              </w:rPr>
              <w:t xml:space="preserve">Einholung des Abgleichs </w:t>
            </w:r>
            <w:r w:rsidRPr="00901313">
              <w:t>des Gesamtbuchwerts der anerkennungsfähigen gruppeninternen Verbindlichkeiten mit den zugrunde liegenden Unterlagen und dem Feld „3F5“ des Meldebogens.</w:t>
            </w:r>
            <w:r w:rsidRPr="00901313">
              <w:rPr>
                <w:b/>
                <w:szCs w:val="18"/>
              </w:rPr>
              <w:t xml:space="preserve"> Neuberechnung</w:t>
            </w:r>
            <w:r w:rsidRPr="00901313">
              <w:t xml:space="preserve"> des Gesamtbetrags im Feld „3F5“ des Meldebogens. Im Fall mehrerer zugrunde liegender Unterlagen ist der Gesamtbetrag im Feld „3F5“ des Meldebogens anhand der Summen in den einzelnen zugrunde liegenden Unterlagen neu zu berechnen.</w:t>
            </w:r>
          </w:p>
        </w:tc>
        <w:tc>
          <w:tcPr>
            <w:tcW w:w="1275" w:type="dxa"/>
            <w:shd w:val="clear" w:color="auto" w:fill="auto"/>
          </w:tcPr>
          <w:p w:rsidRPr="00901313" w:rsidR="00445F86" w:rsidP="004F7F73" w:rsidRDefault="00445F86" w14:paraId="09F35712" w14:textId="311059B5">
            <w:pPr>
              <w:pStyle w:val="ListParagraph"/>
              <w:numPr>
                <w:ilvl w:val="0"/>
                <w:numId w:val="27"/>
              </w:numPr>
              <w:ind w:left="360"/>
              <w:rPr>
                <w:rFonts w:cstheme="minorHAnsi"/>
                <w:szCs w:val="18"/>
              </w:rPr>
            </w:pPr>
            <w:r w:rsidRPr="00901313">
              <w:t>Ja</w:t>
            </w:r>
          </w:p>
          <w:p w:rsidRPr="00901313" w:rsidR="00445F86" w:rsidP="004F7F73" w:rsidRDefault="00445F86" w14:paraId="575FF1CE" w14:textId="17188A81">
            <w:pPr>
              <w:pStyle w:val="ListParagraph"/>
              <w:numPr>
                <w:ilvl w:val="0"/>
                <w:numId w:val="27"/>
              </w:numPr>
              <w:ind w:left="360"/>
              <w:rPr>
                <w:rFonts w:cstheme="minorHAnsi"/>
                <w:szCs w:val="18"/>
              </w:rPr>
            </w:pPr>
            <w:r w:rsidRPr="00901313">
              <w:t>Nein</w:t>
            </w:r>
          </w:p>
          <w:p w:rsidRPr="00901313" w:rsidR="00445F86" w:rsidP="004F7F73" w:rsidRDefault="00445F86" w14:paraId="16CC4262" w14:textId="07773A8C">
            <w:pPr>
              <w:pStyle w:val="ListParagraph"/>
              <w:numPr>
                <w:ilvl w:val="0"/>
                <w:numId w:val="27"/>
              </w:numPr>
              <w:ind w:left="360"/>
              <w:rPr>
                <w:rFonts w:cstheme="minorHAnsi"/>
                <w:szCs w:val="18"/>
              </w:rPr>
            </w:pPr>
            <w:r w:rsidRPr="00901313">
              <w:t>N. z.</w:t>
            </w:r>
          </w:p>
        </w:tc>
        <w:tc>
          <w:tcPr>
            <w:tcW w:w="3232" w:type="dxa"/>
            <w:shd w:val="clear" w:color="auto" w:fill="auto"/>
          </w:tcPr>
          <w:p w:rsidRPr="00901313" w:rsidR="00445F86" w:rsidP="00A526B2" w:rsidRDefault="00445F86" w14:paraId="351B5536" w14:textId="77777777">
            <w:pPr>
              <w:rPr>
                <w:rFonts w:eastAsia="Calibri" w:cstheme="minorHAnsi"/>
                <w:szCs w:val="18"/>
              </w:rPr>
            </w:pPr>
          </w:p>
        </w:tc>
      </w:tr>
      <w:tr w:rsidRPr="00901313" w:rsidR="00445F86" w:rsidTr="006C5102" w14:paraId="6973C985" w14:textId="77777777">
        <w:tc>
          <w:tcPr>
            <w:tcW w:w="959" w:type="dxa"/>
            <w:shd w:val="clear" w:color="auto" w:fill="auto"/>
          </w:tcPr>
          <w:p w:rsidRPr="00901313" w:rsidR="00445F86" w:rsidP="00A526B2" w:rsidRDefault="00445F86" w14:paraId="5712F70E" w14:textId="77777777">
            <w:pPr>
              <w:rPr>
                <w:rFonts w:eastAsia="Calibri" w:cstheme="minorHAnsi"/>
                <w:szCs w:val="18"/>
              </w:rPr>
            </w:pPr>
            <w:r w:rsidRPr="00901313">
              <w:rPr>
                <w:szCs w:val="18"/>
              </w:rPr>
              <w:t>6.2.4</w:t>
            </w:r>
          </w:p>
        </w:tc>
        <w:tc>
          <w:tcPr>
            <w:tcW w:w="3998" w:type="dxa"/>
            <w:shd w:val="clear" w:color="auto" w:fill="auto"/>
          </w:tcPr>
          <w:p w:rsidRPr="00901313" w:rsidR="00445F86" w:rsidP="007C683B" w:rsidRDefault="00445F86" w14:paraId="52A60248" w14:textId="21AAED6A">
            <w:pPr>
              <w:spacing w:after="160" w:line="256" w:lineRule="auto"/>
              <w:contextualSpacing/>
              <w:jc w:val="both"/>
              <w:rPr>
                <w:rFonts w:eastAsia="Calibri" w:cstheme="minorHAnsi"/>
                <w:b/>
                <w:szCs w:val="18"/>
              </w:rPr>
            </w:pPr>
            <w:r w:rsidRPr="00901313">
              <w:rPr>
                <w:b/>
                <w:szCs w:val="18"/>
              </w:rPr>
              <w:t xml:space="preserve">Einholung des Abgleichs </w:t>
            </w:r>
            <w:r w:rsidRPr="00901313">
              <w:t>des Gesamtbuchwerts der anerkennungsfähigen gruppeninternen Forderungen mit den zugrunde liegenden Unterlagen und dem Feld „3F9“ des Meldebogens.</w:t>
            </w:r>
            <w:r w:rsidRPr="00901313">
              <w:rPr>
                <w:b/>
                <w:szCs w:val="18"/>
              </w:rPr>
              <w:t xml:space="preserve"> Neuberechnung</w:t>
            </w:r>
            <w:r w:rsidRPr="00901313">
              <w:t xml:space="preserve"> des Gesamtbetrags im Feld „3F9“ des Meldebogens.</w:t>
            </w:r>
          </w:p>
        </w:tc>
        <w:tc>
          <w:tcPr>
            <w:tcW w:w="1275" w:type="dxa"/>
            <w:shd w:val="clear" w:color="auto" w:fill="auto"/>
          </w:tcPr>
          <w:p w:rsidRPr="00901313" w:rsidR="00445F86" w:rsidP="004F7F73" w:rsidRDefault="00445F86" w14:paraId="45B25F58" w14:textId="445810FA">
            <w:pPr>
              <w:pStyle w:val="ListParagraph"/>
              <w:numPr>
                <w:ilvl w:val="0"/>
                <w:numId w:val="27"/>
              </w:numPr>
              <w:ind w:left="360"/>
              <w:rPr>
                <w:rFonts w:cstheme="minorHAnsi"/>
                <w:szCs w:val="18"/>
              </w:rPr>
            </w:pPr>
            <w:r w:rsidRPr="00901313">
              <w:t>Ja</w:t>
            </w:r>
          </w:p>
          <w:p w:rsidRPr="00901313" w:rsidR="00445F86" w:rsidP="004F7F73" w:rsidRDefault="00445F86" w14:paraId="67008EFB" w14:textId="1D21FA8C">
            <w:pPr>
              <w:pStyle w:val="ListParagraph"/>
              <w:numPr>
                <w:ilvl w:val="0"/>
                <w:numId w:val="27"/>
              </w:numPr>
              <w:ind w:left="360"/>
              <w:rPr>
                <w:rFonts w:cstheme="minorHAnsi"/>
                <w:szCs w:val="18"/>
              </w:rPr>
            </w:pPr>
            <w:r w:rsidRPr="00901313">
              <w:t>Nein</w:t>
            </w:r>
          </w:p>
          <w:p w:rsidRPr="00901313" w:rsidR="00445F86" w:rsidP="004F7F73" w:rsidRDefault="00445F86" w14:paraId="1B7A0F20" w14:textId="6DD806C3">
            <w:pPr>
              <w:pStyle w:val="ListParagraph"/>
              <w:numPr>
                <w:ilvl w:val="0"/>
                <w:numId w:val="27"/>
              </w:numPr>
              <w:ind w:left="360"/>
              <w:rPr>
                <w:rFonts w:cstheme="minorHAnsi"/>
                <w:szCs w:val="18"/>
              </w:rPr>
            </w:pPr>
            <w:r w:rsidRPr="00901313">
              <w:t>N. z.</w:t>
            </w:r>
          </w:p>
        </w:tc>
        <w:tc>
          <w:tcPr>
            <w:tcW w:w="3232" w:type="dxa"/>
            <w:shd w:val="clear" w:color="auto" w:fill="auto"/>
          </w:tcPr>
          <w:p w:rsidRPr="00901313" w:rsidR="00445F86" w:rsidP="00A526B2" w:rsidRDefault="00445F86" w14:paraId="34A2ED3B" w14:textId="77777777">
            <w:pPr>
              <w:rPr>
                <w:rFonts w:eastAsia="Calibri" w:cstheme="minorHAnsi"/>
                <w:szCs w:val="18"/>
              </w:rPr>
            </w:pPr>
          </w:p>
        </w:tc>
      </w:tr>
      <w:tr w:rsidRPr="00901313" w:rsidR="00445F86" w:rsidTr="006C5102" w14:paraId="24FC89B1" w14:textId="77777777">
        <w:tc>
          <w:tcPr>
            <w:tcW w:w="959" w:type="dxa"/>
            <w:shd w:val="clear" w:color="auto" w:fill="auto"/>
          </w:tcPr>
          <w:p w:rsidRPr="00901313" w:rsidR="00445F86" w:rsidP="00A526B2" w:rsidRDefault="00445F86" w14:paraId="1A06F266" w14:textId="77777777">
            <w:pPr>
              <w:rPr>
                <w:rFonts w:eastAsia="Calibri" w:cstheme="minorHAnsi"/>
                <w:szCs w:val="18"/>
              </w:rPr>
            </w:pPr>
            <w:r w:rsidRPr="00901313">
              <w:rPr>
                <w:szCs w:val="18"/>
              </w:rPr>
              <w:t>6.2.5</w:t>
            </w:r>
          </w:p>
        </w:tc>
        <w:tc>
          <w:tcPr>
            <w:tcW w:w="3998" w:type="dxa"/>
            <w:shd w:val="clear" w:color="auto" w:fill="auto"/>
          </w:tcPr>
          <w:p w:rsidRPr="00901313" w:rsidR="00445F86" w:rsidP="00A526B2" w:rsidRDefault="00445F86" w14:paraId="178DE8EE" w14:textId="77777777">
            <w:pPr>
              <w:spacing w:after="160" w:line="256" w:lineRule="auto"/>
              <w:contextualSpacing/>
              <w:jc w:val="both"/>
              <w:rPr>
                <w:rFonts w:eastAsia="Calibri" w:cstheme="minorHAnsi"/>
                <w:szCs w:val="18"/>
              </w:rPr>
            </w:pPr>
            <w:r w:rsidRPr="00901313">
              <w:rPr>
                <w:b/>
                <w:szCs w:val="18"/>
              </w:rPr>
              <w:t>Einholung einer schriftlichen Bestätigung des Leitungsorgans des Instituts</w:t>
            </w:r>
            <w:r w:rsidRPr="00901313">
              <w:t>, dass für die Meldedaten im Feld „3F10“ die folgende Regel dokumentiert und umgesetzt wurde:</w:t>
            </w:r>
          </w:p>
          <w:p w:rsidRPr="00901313" w:rsidR="00445F86" w:rsidP="004F7F73" w:rsidRDefault="00445F86" w14:paraId="3A2DBCF1" w14:textId="77777777">
            <w:pPr>
              <w:numPr>
                <w:ilvl w:val="0"/>
                <w:numId w:val="12"/>
              </w:numPr>
              <w:spacing w:after="160" w:line="256" w:lineRule="auto"/>
              <w:ind w:hanging="181"/>
              <w:contextualSpacing/>
              <w:jc w:val="both"/>
              <w:rPr>
                <w:rFonts w:eastAsia="Calibri" w:cstheme="minorHAnsi"/>
                <w:szCs w:val="18"/>
              </w:rPr>
            </w:pPr>
            <w:r w:rsidRPr="00901313">
              <w:t>Prüfung, mit welchem Wert die Gegenpartei der Gruppe den Betrag als Verbindlichkeit verbucht hat. Im Fall einer Inkongruenz hat der Wert Vorrang, den die Gegenpartei der Gruppe als Verbindlichkeit verbucht hat, und</w:t>
            </w:r>
          </w:p>
          <w:p w:rsidRPr="00901313" w:rsidR="00445F86" w:rsidP="004F7F73" w:rsidRDefault="00445F86" w14:paraId="07B63229" w14:textId="32908834">
            <w:pPr>
              <w:numPr>
                <w:ilvl w:val="0"/>
                <w:numId w:val="12"/>
              </w:numPr>
              <w:spacing w:after="160" w:line="256" w:lineRule="auto"/>
              <w:ind w:hanging="181"/>
              <w:contextualSpacing/>
              <w:jc w:val="both"/>
              <w:rPr>
                <w:rFonts w:eastAsia="Calibri" w:cstheme="minorHAnsi"/>
                <w:szCs w:val="18"/>
              </w:rPr>
            </w:pPr>
            <w:r w:rsidRPr="00901313">
              <w:rPr>
                <w:i/>
                <w:szCs w:val="18"/>
              </w:rPr>
              <w:t>Gegebenenfalls</w:t>
            </w:r>
            <w:r w:rsidRPr="00901313">
              <w:t xml:space="preserve"> Anwendung der Methodik zur Anpassung der Derivate (Tab. 3 </w:t>
            </w:r>
            <w:r w:rsidRPr="00901313">
              <w:rPr>
                <w:b/>
                <w:szCs w:val="18"/>
              </w:rPr>
              <w:t>Leitlinie für 2023</w:t>
            </w:r>
            <w:r w:rsidRPr="00901313">
              <w:t>) und Prüfung, ob diese dem Wert nach Anwendung der Untergrenze entspricht, der von der Gegenpartei der Gruppe berechnet wurde. Im Fall einer Inkongruenz hat der Wert Vorrang, den die Gegenpartei der Gruppe als Verbindlichkeit berechnet hat.</w:t>
            </w:r>
          </w:p>
          <w:p w:rsidRPr="00901313" w:rsidR="00445F86" w:rsidP="00A526B2" w:rsidRDefault="00445F86" w14:paraId="73AF02BE" w14:textId="77777777">
            <w:pPr>
              <w:spacing w:after="160" w:line="256" w:lineRule="auto"/>
              <w:contextualSpacing/>
              <w:jc w:val="both"/>
              <w:rPr>
                <w:rFonts w:eastAsia="Calibri" w:cstheme="minorHAnsi"/>
                <w:b/>
                <w:szCs w:val="18"/>
              </w:rPr>
            </w:pPr>
          </w:p>
        </w:tc>
        <w:tc>
          <w:tcPr>
            <w:tcW w:w="1275" w:type="dxa"/>
            <w:shd w:val="clear" w:color="auto" w:fill="auto"/>
          </w:tcPr>
          <w:p w:rsidRPr="00901313" w:rsidR="00445F86" w:rsidP="004F7F73" w:rsidRDefault="00445F86" w14:paraId="1C09278A" w14:textId="3DB45C2F">
            <w:pPr>
              <w:pStyle w:val="ListParagraph"/>
              <w:numPr>
                <w:ilvl w:val="0"/>
                <w:numId w:val="27"/>
              </w:numPr>
              <w:ind w:left="360"/>
              <w:rPr>
                <w:rFonts w:cstheme="minorHAnsi"/>
                <w:szCs w:val="18"/>
              </w:rPr>
            </w:pPr>
            <w:r w:rsidRPr="00901313">
              <w:t>Ja</w:t>
            </w:r>
          </w:p>
          <w:p w:rsidRPr="00901313" w:rsidR="00445F86" w:rsidP="004F7F73" w:rsidRDefault="00445F86" w14:paraId="263E9DFE" w14:textId="7E20B167">
            <w:pPr>
              <w:pStyle w:val="ListParagraph"/>
              <w:numPr>
                <w:ilvl w:val="0"/>
                <w:numId w:val="27"/>
              </w:numPr>
              <w:ind w:left="360"/>
              <w:rPr>
                <w:rFonts w:cstheme="minorHAnsi"/>
                <w:szCs w:val="18"/>
              </w:rPr>
            </w:pPr>
            <w:r w:rsidRPr="00901313">
              <w:t>Nein</w:t>
            </w:r>
          </w:p>
          <w:p w:rsidRPr="00901313" w:rsidR="00445F86" w:rsidP="004F7F73" w:rsidRDefault="00445F86" w14:paraId="4B3FF057" w14:textId="4496C1BB">
            <w:pPr>
              <w:pStyle w:val="ListParagraph"/>
              <w:numPr>
                <w:ilvl w:val="0"/>
                <w:numId w:val="27"/>
              </w:numPr>
              <w:ind w:left="360"/>
              <w:rPr>
                <w:rFonts w:cstheme="minorHAnsi"/>
                <w:szCs w:val="18"/>
              </w:rPr>
            </w:pPr>
            <w:r w:rsidRPr="00901313">
              <w:t>N. z.</w:t>
            </w:r>
          </w:p>
        </w:tc>
        <w:tc>
          <w:tcPr>
            <w:tcW w:w="3232" w:type="dxa"/>
            <w:shd w:val="clear" w:color="auto" w:fill="auto"/>
          </w:tcPr>
          <w:p w:rsidRPr="00901313" w:rsidR="00445F86" w:rsidP="00A526B2" w:rsidRDefault="00445F86" w14:paraId="6EF415FD" w14:textId="77777777">
            <w:pPr>
              <w:rPr>
                <w:rFonts w:eastAsia="Calibri" w:cstheme="minorHAnsi"/>
                <w:szCs w:val="18"/>
              </w:rPr>
            </w:pPr>
          </w:p>
        </w:tc>
      </w:tr>
    </w:tbl>
    <w:p w:rsidRPr="00901313" w:rsidR="00445F86" w:rsidP="00445F86" w:rsidRDefault="00445F86" w14:paraId="073B0BAB" w14:textId="77777777">
      <w:pPr>
        <w:rPr>
          <w:rFonts w:eastAsia="Times New Roman" w:cstheme="minorHAnsi"/>
          <w:color w:val="2E74B5"/>
          <w:szCs w:val="18"/>
        </w:rPr>
      </w:pPr>
    </w:p>
    <w:p w:rsidRPr="00901313" w:rsidR="003C1568" w:rsidP="00B97EC1" w:rsidRDefault="003C1568" w14:paraId="27E0E2DD" w14:textId="77777777">
      <w:pPr>
        <w:pStyle w:val="Heading2"/>
        <w:rPr>
          <w:b/>
        </w:rPr>
      </w:pPr>
    </w:p>
    <w:p w:rsidRPr="00901313" w:rsidR="00B27DF4" w:rsidRDefault="00B27DF4" w14:paraId="69068FC0" w14:textId="1AFB519F">
      <w:pPr>
        <w:spacing w:after="160" w:line="259" w:lineRule="auto"/>
        <w:rPr>
          <w:b/>
          <w:bCs/>
          <w:color w:val="005EB8"/>
          <w:sz w:val="20"/>
          <w:szCs w:val="28"/>
        </w:rPr>
      </w:pPr>
      <w:r w:rsidRPr="00901313">
        <w:br w:type="page"/>
      </w:r>
    </w:p>
    <w:p w:rsidRPr="00901313" w:rsidR="00445F86" w:rsidDel="009D4618" w:rsidP="004F7F73" w:rsidRDefault="0027713C" w14:paraId="58CB482B" w14:textId="6DC60FCD">
      <w:pPr>
        <w:pStyle w:val="Heading2"/>
        <w:keepNext/>
        <w:rPr>
          <w:b/>
        </w:rPr>
      </w:pPr>
      <w:r w:rsidRPr="00901313">
        <w:rPr>
          <w:b/>
        </w:rPr>
        <w:lastRenderedPageBreak/>
        <w:t>Prüfungshandlungen zu 7: Eigenmittel (Datenfeld „2A2“ des Meldebogens) (nur anwendbar, wenn dem Institut von der zuständigen Behörde eine Ausnahme für die Meldung der Eigenmittel auf Einzelebene gewährt wurde)</w:t>
      </w:r>
    </w:p>
    <w:p w:rsidRPr="00901313" w:rsidR="00832234" w:rsidP="004F7F73" w:rsidRDefault="00832234" w14:paraId="75B40843" w14:textId="1001BE65">
      <w:pPr>
        <w:keepNext/>
        <w:rPr>
          <w:rFonts w:eastAsia="Times New Roman" w:cstheme="minorHAnsi"/>
          <w:color w:val="2E74B5"/>
          <w:szCs w:val="18"/>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59"/>
        <w:gridCol w:w="3998"/>
        <w:gridCol w:w="1275"/>
        <w:gridCol w:w="3232"/>
      </w:tblGrid>
      <w:tr w:rsidRPr="00901313" w:rsidR="00832234" w:rsidTr="00F405D3" w14:paraId="2EF5F712" w14:textId="77777777">
        <w:trPr>
          <w:trHeight w:val="546"/>
        </w:trPr>
        <w:tc>
          <w:tcPr>
            <w:tcW w:w="959" w:type="dxa"/>
            <w:shd w:val="clear" w:color="auto" w:fill="auto"/>
          </w:tcPr>
          <w:p w:rsidRPr="00901313" w:rsidR="00832234" w:rsidP="00F405D3" w:rsidRDefault="00832234" w14:paraId="6333B5A1" w14:textId="77777777">
            <w:pPr>
              <w:jc w:val="center"/>
              <w:rPr>
                <w:rFonts w:eastAsia="Calibri" w:cstheme="minorHAnsi"/>
                <w:b/>
                <w:szCs w:val="18"/>
              </w:rPr>
            </w:pPr>
            <w:r w:rsidRPr="00901313">
              <w:rPr>
                <w:b/>
                <w:szCs w:val="18"/>
              </w:rPr>
              <w:t>#</w:t>
            </w:r>
          </w:p>
        </w:tc>
        <w:tc>
          <w:tcPr>
            <w:tcW w:w="3998" w:type="dxa"/>
            <w:shd w:val="clear" w:color="auto" w:fill="auto"/>
          </w:tcPr>
          <w:p w:rsidRPr="00901313" w:rsidR="00832234" w:rsidP="00F405D3" w:rsidRDefault="00832234" w14:paraId="51CBD09B" w14:textId="77777777">
            <w:pPr>
              <w:rPr>
                <w:rFonts w:eastAsia="Calibri" w:cstheme="minorHAnsi"/>
                <w:b/>
                <w:szCs w:val="18"/>
              </w:rPr>
            </w:pPr>
            <w:r w:rsidRPr="00901313">
              <w:rPr>
                <w:b/>
                <w:szCs w:val="18"/>
              </w:rPr>
              <w:t>Prüfungshandlung</w:t>
            </w:r>
          </w:p>
        </w:tc>
        <w:tc>
          <w:tcPr>
            <w:tcW w:w="1275" w:type="dxa"/>
            <w:shd w:val="clear" w:color="auto" w:fill="auto"/>
          </w:tcPr>
          <w:p w:rsidRPr="00901313" w:rsidR="00832234" w:rsidP="00F405D3" w:rsidRDefault="00832234" w14:paraId="130EB276" w14:textId="690CD862">
            <w:pPr>
              <w:rPr>
                <w:rFonts w:eastAsia="Calibri" w:cstheme="minorHAnsi"/>
                <w:b/>
                <w:szCs w:val="18"/>
              </w:rPr>
            </w:pPr>
            <w:r w:rsidRPr="00901313">
              <w:rPr>
                <w:b/>
                <w:szCs w:val="18"/>
              </w:rPr>
              <w:t xml:space="preserve"> Prüfungsfeststellung</w:t>
            </w:r>
            <w:r w:rsidRPr="00901313">
              <w:rPr>
                <w:rFonts w:eastAsia="Calibri" w:cstheme="minorHAnsi"/>
                <w:szCs w:val="18"/>
                <w:vertAlign w:val="superscript"/>
              </w:rPr>
              <w:footnoteReference w:id="23"/>
            </w:r>
          </w:p>
          <w:p w:rsidRPr="00901313" w:rsidR="00832234" w:rsidP="00F405D3" w:rsidRDefault="00832234" w14:paraId="35E11EC7" w14:textId="77777777">
            <w:pPr>
              <w:rPr>
                <w:rFonts w:eastAsia="Calibri" w:cstheme="minorHAnsi"/>
                <w:szCs w:val="18"/>
              </w:rPr>
            </w:pPr>
            <w:r w:rsidRPr="00901313">
              <w:t>(Ja/Nein/N. z.)</w:t>
            </w:r>
          </w:p>
        </w:tc>
        <w:tc>
          <w:tcPr>
            <w:tcW w:w="3232" w:type="dxa"/>
            <w:shd w:val="clear" w:color="auto" w:fill="auto"/>
          </w:tcPr>
          <w:p w:rsidRPr="00901313" w:rsidR="00832234" w:rsidP="00F405D3" w:rsidRDefault="00832234" w14:paraId="18667DD4" w14:textId="3CDC8303">
            <w:pPr>
              <w:rPr>
                <w:rFonts w:eastAsia="Calibri" w:cstheme="minorHAnsi"/>
                <w:b/>
                <w:szCs w:val="18"/>
              </w:rPr>
            </w:pPr>
            <w:r w:rsidRPr="00901313">
              <w:rPr>
                <w:b/>
                <w:szCs w:val="18"/>
              </w:rPr>
              <w:t>Beschreibung der Prüfungsfeststellungen oder/und Kommentare</w:t>
            </w:r>
            <w:r w:rsidRPr="00901313" w:rsidR="0090114E">
              <w:rPr>
                <w:rFonts w:eastAsia="Calibri" w:cstheme="minorHAnsi"/>
                <w:szCs w:val="18"/>
                <w:vertAlign w:val="superscript"/>
              </w:rPr>
              <w:footnoteReference w:id="24"/>
            </w:r>
          </w:p>
        </w:tc>
      </w:tr>
      <w:tr w:rsidRPr="00901313" w:rsidR="00832234" w:rsidTr="00F405D3" w14:paraId="7C406A70" w14:textId="77777777">
        <w:tc>
          <w:tcPr>
            <w:tcW w:w="959" w:type="dxa"/>
            <w:shd w:val="clear" w:color="auto" w:fill="auto"/>
          </w:tcPr>
          <w:p w:rsidRPr="00901313" w:rsidR="00832234" w:rsidP="00F405D3" w:rsidRDefault="00832234" w14:paraId="2D144B33" w14:textId="1B173ED0">
            <w:pPr>
              <w:rPr>
                <w:rFonts w:eastAsia="Calibri" w:cstheme="minorHAnsi"/>
                <w:szCs w:val="18"/>
              </w:rPr>
            </w:pPr>
            <w:r w:rsidRPr="00901313">
              <w:rPr>
                <w:szCs w:val="18"/>
              </w:rPr>
              <w:t>7.1</w:t>
            </w:r>
          </w:p>
        </w:tc>
        <w:tc>
          <w:tcPr>
            <w:tcW w:w="3998" w:type="dxa"/>
            <w:shd w:val="clear" w:color="auto" w:fill="auto"/>
          </w:tcPr>
          <w:p w:rsidRPr="00901313" w:rsidR="00832234" w:rsidP="00F405D3" w:rsidRDefault="00832234" w14:paraId="7E95BF50" w14:textId="3CD25F8F">
            <w:pPr>
              <w:spacing w:after="160" w:line="256" w:lineRule="auto"/>
              <w:contextualSpacing/>
              <w:jc w:val="both"/>
              <w:rPr>
                <w:rFonts w:eastAsia="Calibri" w:cstheme="minorHAnsi"/>
                <w:szCs w:val="18"/>
              </w:rPr>
            </w:pPr>
            <w:r w:rsidRPr="00901313">
              <w:rPr>
                <w:b/>
                <w:szCs w:val="18"/>
              </w:rPr>
              <w:t>Einholung vom Institut der zugrunde liegenden Unterlagen</w:t>
            </w:r>
            <w:r w:rsidRPr="00901313">
              <w:t xml:space="preserve"> zur Berechnung des regulatorischen Eigenkapitals gemäß der Eigenmittelverordnung, </w:t>
            </w:r>
            <w:r w:rsidRPr="00901313">
              <w:rPr>
                <w:b/>
                <w:szCs w:val="18"/>
              </w:rPr>
              <w:t>Neuberechnung der Eigenmittel (auf Einzelebene)</w:t>
            </w:r>
            <w:r w:rsidRPr="00901313">
              <w:t xml:space="preserve"> sowie </w:t>
            </w:r>
            <w:r w:rsidRPr="00901313">
              <w:rPr>
                <w:b/>
                <w:szCs w:val="18"/>
              </w:rPr>
              <w:t>Abgleich der Beträge</w:t>
            </w:r>
            <w:r w:rsidRPr="00901313">
              <w:t>, die in der Berechnung bezüglich der vom Institut bereitgestellten zugrunde liegenden Unterlagen verwendet wurden.</w:t>
            </w:r>
          </w:p>
          <w:p w:rsidRPr="00901313" w:rsidR="00832234" w:rsidP="00F405D3" w:rsidRDefault="00832234" w14:paraId="51D94D75" w14:textId="77777777">
            <w:pPr>
              <w:spacing w:after="160" w:line="256" w:lineRule="auto"/>
              <w:contextualSpacing/>
              <w:jc w:val="both"/>
              <w:rPr>
                <w:rFonts w:eastAsia="Calibri" w:cstheme="minorHAnsi"/>
                <w:b/>
                <w:szCs w:val="18"/>
              </w:rPr>
            </w:pPr>
          </w:p>
        </w:tc>
        <w:tc>
          <w:tcPr>
            <w:tcW w:w="1275" w:type="dxa"/>
            <w:shd w:val="clear" w:color="auto" w:fill="auto"/>
          </w:tcPr>
          <w:p w:rsidRPr="00901313" w:rsidR="00832234" w:rsidP="004F7F73" w:rsidRDefault="00832234" w14:paraId="187D62D7" w14:textId="0225DE38">
            <w:pPr>
              <w:pStyle w:val="ListParagraph"/>
              <w:numPr>
                <w:ilvl w:val="0"/>
                <w:numId w:val="28"/>
              </w:numPr>
              <w:ind w:left="360"/>
              <w:rPr>
                <w:rFonts w:cstheme="minorHAnsi"/>
                <w:szCs w:val="18"/>
              </w:rPr>
            </w:pPr>
            <w:r w:rsidRPr="00901313">
              <w:t>Ja</w:t>
            </w:r>
          </w:p>
          <w:p w:rsidRPr="00901313" w:rsidR="00832234" w:rsidP="004F7F73" w:rsidRDefault="00832234" w14:paraId="1D4583B6" w14:textId="4111C22F">
            <w:pPr>
              <w:pStyle w:val="ListParagraph"/>
              <w:numPr>
                <w:ilvl w:val="0"/>
                <w:numId w:val="28"/>
              </w:numPr>
              <w:ind w:left="360"/>
              <w:rPr>
                <w:rFonts w:cstheme="minorHAnsi"/>
                <w:szCs w:val="18"/>
              </w:rPr>
            </w:pPr>
            <w:r w:rsidRPr="00901313">
              <w:t>Nein</w:t>
            </w:r>
          </w:p>
          <w:p w:rsidRPr="00901313" w:rsidR="00832234" w:rsidP="004F7F73" w:rsidRDefault="00832234" w14:paraId="0EDA9A0A" w14:textId="5752E60D">
            <w:pPr>
              <w:pStyle w:val="ListParagraph"/>
              <w:numPr>
                <w:ilvl w:val="0"/>
                <w:numId w:val="28"/>
              </w:numPr>
              <w:ind w:left="360"/>
              <w:rPr>
                <w:rFonts w:eastAsia="Calibri" w:cstheme="minorHAnsi"/>
                <w:szCs w:val="18"/>
              </w:rPr>
            </w:pPr>
            <w:r w:rsidRPr="00901313">
              <w:t>N. z.</w:t>
            </w:r>
          </w:p>
        </w:tc>
        <w:tc>
          <w:tcPr>
            <w:tcW w:w="3232" w:type="dxa"/>
            <w:shd w:val="clear" w:color="auto" w:fill="auto"/>
          </w:tcPr>
          <w:p w:rsidRPr="00901313" w:rsidR="00832234" w:rsidP="00F405D3" w:rsidRDefault="00832234" w14:paraId="73541898" w14:textId="77777777">
            <w:pPr>
              <w:rPr>
                <w:rFonts w:eastAsia="Calibri" w:cstheme="minorHAnsi"/>
                <w:szCs w:val="18"/>
              </w:rPr>
            </w:pPr>
          </w:p>
        </w:tc>
      </w:tr>
    </w:tbl>
    <w:p w:rsidRPr="00901313" w:rsidR="00832234" w:rsidDel="009D4618" w:rsidRDefault="00832234" w14:paraId="2DF1EC0E" w14:textId="77777777">
      <w:pPr>
        <w:rPr>
          <w:rFonts w:eastAsia="Times New Roman" w:cstheme="minorHAnsi"/>
          <w:color w:val="2E74B5"/>
          <w:szCs w:val="18"/>
        </w:rPr>
      </w:pPr>
    </w:p>
    <w:p w:rsidRPr="00901313" w:rsidR="00445F86" w:rsidDel="009D4618" w:rsidRDefault="00445F86" w14:paraId="129F7FB6" w14:textId="019DA359">
      <w:pPr>
        <w:rPr>
          <w:rFonts w:eastAsia="Times New Roman" w:cstheme="minorHAnsi"/>
          <w:color w:val="2E74B5"/>
          <w:szCs w:val="18"/>
        </w:rPr>
      </w:pPr>
    </w:p>
    <w:p w:rsidRPr="00901313" w:rsidR="00445F86" w:rsidDel="009D4618" w:rsidP="00B97EC1" w:rsidRDefault="00445F86" w14:paraId="0BF319AD" w14:textId="179035CC">
      <w:pPr>
        <w:spacing w:after="160" w:line="256" w:lineRule="auto"/>
        <w:ind w:left="1800"/>
        <w:contextualSpacing/>
        <w:jc w:val="both"/>
        <w:rPr>
          <w:rFonts w:eastAsia="Calibri" w:cstheme="minorHAnsi"/>
          <w:szCs w:val="18"/>
        </w:rPr>
      </w:pPr>
    </w:p>
    <w:p w:rsidRPr="00901313" w:rsidR="00445F86" w:rsidP="004F7F73" w:rsidRDefault="00445F86" w14:paraId="082CA9F0" w14:textId="47317111">
      <w:pPr>
        <w:pageBreakBefore/>
        <w:spacing w:after="200" w:line="276" w:lineRule="auto"/>
        <w:contextualSpacing/>
        <w:jc w:val="both"/>
      </w:pPr>
      <w:r w:rsidRPr="00901313">
        <w:rPr>
          <w:b/>
          <w:color w:val="005EB8"/>
          <w:sz w:val="28"/>
          <w:szCs w:val="58"/>
        </w:rPr>
        <w:lastRenderedPageBreak/>
        <w:t>ANHANG II – Prüfungsbericht</w:t>
      </w:r>
    </w:p>
    <w:p w:rsidRPr="00901313" w:rsidR="00445F86" w:rsidP="00445F86" w:rsidRDefault="00445F86" w14:paraId="3480167C" w14:textId="77777777">
      <w:pPr>
        <w:jc w:val="both"/>
        <w:rPr>
          <w:rFonts w:eastAsia="Times New Roman" w:cstheme="minorHAnsi"/>
          <w:b/>
          <w:color w:val="0046AD"/>
          <w:szCs w:val="18"/>
        </w:rPr>
      </w:pPr>
    </w:p>
    <w:p w:rsidRPr="00901313" w:rsidR="00445F86" w:rsidP="00445F86" w:rsidRDefault="00445F86" w14:paraId="30EB52AA" w14:textId="77777777">
      <w:pPr>
        <w:jc w:val="both"/>
        <w:rPr>
          <w:rFonts w:eastAsia="Times New Roman" w:cstheme="minorHAnsi"/>
          <w:b/>
          <w:color w:val="0046AD"/>
          <w:szCs w:val="18"/>
        </w:rPr>
      </w:pPr>
    </w:p>
    <w:p w:rsidRPr="00901313" w:rsidR="00445F86" w:rsidP="00445F86" w:rsidRDefault="00445F86" w14:paraId="4ECEFF66" w14:textId="2CD61992">
      <w:pPr>
        <w:spacing w:after="200" w:line="276" w:lineRule="auto"/>
        <w:jc w:val="both"/>
        <w:rPr>
          <w:rFonts w:eastAsia="Calibri" w:cstheme="minorHAnsi"/>
          <w:szCs w:val="18"/>
        </w:rPr>
      </w:pPr>
      <w:r w:rsidRPr="00901313">
        <w:t>Der Prüfungsbericht im PDF-Format (übliche Namensform „</w:t>
      </w:r>
      <w:r w:rsidRPr="00901313">
        <w:rPr>
          <w:i/>
          <w:szCs w:val="18"/>
        </w:rPr>
        <w:t>MFI_LEI_AUP_2023’</w:t>
      </w:r>
      <w:r w:rsidRPr="00901313">
        <w:t>“ für den Zyklus der vereinbarten Prüfungshandlungen für 2023 oder „</w:t>
      </w:r>
      <w:r w:rsidRPr="00901313">
        <w:rPr>
          <w:i/>
          <w:szCs w:val="18"/>
        </w:rPr>
        <w:t>MFI_LEI_AUP _YEAR</w:t>
      </w:r>
      <w:r w:rsidRPr="00901313">
        <w:t>“ im Falle einer Anpassung) soll zumindest die folgenden Angaben enthalten:</w:t>
      </w:r>
    </w:p>
    <w:p w:rsidRPr="00901313" w:rsidR="00445F86" w:rsidP="004F7F73" w:rsidRDefault="00445F86" w14:paraId="7628DC5F" w14:textId="77777777">
      <w:pPr>
        <w:numPr>
          <w:ilvl w:val="0"/>
          <w:numId w:val="6"/>
        </w:numPr>
        <w:spacing w:after="60" w:line="276" w:lineRule="auto"/>
        <w:ind w:left="714" w:hanging="357"/>
        <w:jc w:val="both"/>
        <w:rPr>
          <w:rFonts w:eastAsia="Calibri" w:cstheme="minorHAnsi"/>
          <w:szCs w:val="18"/>
        </w:rPr>
      </w:pPr>
      <w:r w:rsidRPr="00901313">
        <w:t>Titel;</w:t>
      </w:r>
    </w:p>
    <w:p w:rsidRPr="00901313" w:rsidR="00445F86" w:rsidP="004F7F73" w:rsidRDefault="00445F86" w14:paraId="189B0D11" w14:textId="77777777">
      <w:pPr>
        <w:numPr>
          <w:ilvl w:val="0"/>
          <w:numId w:val="6"/>
        </w:numPr>
        <w:spacing w:after="60" w:line="276" w:lineRule="auto"/>
        <w:ind w:left="714" w:hanging="357"/>
        <w:jc w:val="both"/>
        <w:rPr>
          <w:rFonts w:eastAsia="Calibri" w:cstheme="minorHAnsi"/>
          <w:szCs w:val="18"/>
        </w:rPr>
      </w:pPr>
      <w:r w:rsidRPr="00901313">
        <w:t>Empfänger (in der Regel der Kunde, der den Prüfer mit der Durchführung der vereinbarten Prüfungshandlungen beauftragt hat);</w:t>
      </w:r>
    </w:p>
    <w:p w:rsidRPr="00901313" w:rsidR="00445F86" w:rsidP="004F7F73" w:rsidRDefault="00445F86" w14:paraId="0F511607" w14:textId="46DACAE3">
      <w:pPr>
        <w:numPr>
          <w:ilvl w:val="0"/>
          <w:numId w:val="6"/>
        </w:numPr>
        <w:spacing w:after="60" w:line="276" w:lineRule="auto"/>
        <w:ind w:left="714" w:hanging="357"/>
        <w:jc w:val="both"/>
        <w:rPr>
          <w:rFonts w:eastAsia="Calibri" w:cstheme="minorHAnsi"/>
          <w:szCs w:val="18"/>
        </w:rPr>
      </w:pPr>
      <w:r w:rsidRPr="00901313">
        <w:t>Identifizierung spezifischer finanzieller oder nichtfinanzieller Informationen, auf die die vereinbarten Prüfungshandlungen angewendet wurden (in diesem Fall Verweis auf den Meldebogen 2023);</w:t>
      </w:r>
    </w:p>
    <w:p w:rsidRPr="00901313" w:rsidR="00445F86" w:rsidP="004F7F73" w:rsidRDefault="00445F86" w14:paraId="34C6BDA5" w14:textId="77777777">
      <w:pPr>
        <w:numPr>
          <w:ilvl w:val="0"/>
          <w:numId w:val="6"/>
        </w:numPr>
        <w:spacing w:after="60" w:line="276" w:lineRule="auto"/>
        <w:ind w:left="714" w:hanging="357"/>
        <w:jc w:val="both"/>
        <w:rPr>
          <w:rFonts w:eastAsia="Calibri" w:cstheme="minorHAnsi"/>
          <w:szCs w:val="18"/>
        </w:rPr>
      </w:pPr>
      <w:r w:rsidRPr="00901313">
        <w:t>eine Erklärung, dass die durchgeführten Prüfungshandlungen diejenigen waren, die mit dem Empfänger vereinbart und von den nationalen Abwicklungsbehörden bereitgestellt wurden;</w:t>
      </w:r>
    </w:p>
    <w:p w:rsidRPr="00901313" w:rsidR="00445F86" w:rsidP="004F7F73" w:rsidRDefault="00445F86" w14:paraId="47663822" w14:textId="77777777">
      <w:pPr>
        <w:numPr>
          <w:ilvl w:val="0"/>
          <w:numId w:val="6"/>
        </w:numPr>
        <w:spacing w:after="60" w:line="276" w:lineRule="auto"/>
        <w:ind w:left="714" w:hanging="357"/>
        <w:jc w:val="both"/>
        <w:rPr>
          <w:rFonts w:eastAsia="Calibri" w:cstheme="minorHAnsi"/>
          <w:szCs w:val="18"/>
        </w:rPr>
      </w:pPr>
      <w:r w:rsidRPr="00901313">
        <w:t>eine Erklärung, dass der Auftrag in Übereinstimmung mit der internationalen Norm „ISRS 4400: Aufträge zur Durchführung vereinbarter Untersuchungshandlungen bezüglich Finanzinformationen“ bzw. mit einschlägigen nationalen Normen oder Praktiken durchgeführt wurde;</w:t>
      </w:r>
    </w:p>
    <w:p w:rsidRPr="00901313" w:rsidR="00445F86" w:rsidP="004F7F73" w:rsidRDefault="00445F86" w14:paraId="37845E59" w14:textId="77777777">
      <w:pPr>
        <w:numPr>
          <w:ilvl w:val="0"/>
          <w:numId w:val="6"/>
        </w:numPr>
        <w:spacing w:after="60" w:line="276" w:lineRule="auto"/>
        <w:ind w:left="714" w:hanging="357"/>
        <w:jc w:val="both"/>
        <w:rPr>
          <w:rFonts w:eastAsia="Calibri" w:cstheme="minorHAnsi"/>
          <w:szCs w:val="18"/>
        </w:rPr>
      </w:pPr>
      <w:r w:rsidRPr="00901313">
        <w:t>gegebenenfalls eine Erklärung, dass der Prüfer nicht unabhängig von dem Unternehmen ist;</w:t>
      </w:r>
    </w:p>
    <w:p w:rsidRPr="00901313" w:rsidR="00445F86" w:rsidP="004F7F73" w:rsidRDefault="00445F86" w14:paraId="6C2448AE" w14:textId="77777777">
      <w:pPr>
        <w:numPr>
          <w:ilvl w:val="0"/>
          <w:numId w:val="6"/>
        </w:numPr>
        <w:spacing w:after="60" w:line="276" w:lineRule="auto"/>
        <w:ind w:left="714" w:hanging="357"/>
        <w:jc w:val="both"/>
        <w:rPr>
          <w:rFonts w:eastAsia="Calibri" w:cstheme="minorHAnsi"/>
          <w:szCs w:val="18"/>
        </w:rPr>
      </w:pPr>
      <w:r w:rsidRPr="00901313">
        <w:t>Angabe des Zwecks, zu dem die vereinbarten Prüfungshandlungen durchgeführt wurden;</w:t>
      </w:r>
    </w:p>
    <w:p w:rsidRPr="00901313" w:rsidR="00445F86" w:rsidP="004F7F73" w:rsidRDefault="00445F86" w14:paraId="47053EEF" w14:textId="2C9FB415">
      <w:pPr>
        <w:numPr>
          <w:ilvl w:val="0"/>
          <w:numId w:val="6"/>
        </w:numPr>
        <w:spacing w:after="60" w:line="276" w:lineRule="auto"/>
        <w:ind w:left="714" w:hanging="357"/>
        <w:jc w:val="both"/>
        <w:rPr>
          <w:rFonts w:eastAsia="Calibri" w:cstheme="minorHAnsi"/>
          <w:szCs w:val="18"/>
        </w:rPr>
      </w:pPr>
      <w:r w:rsidRPr="00901313">
        <w:t xml:space="preserve">eine Auflistung der spezifischen Prüfungshandlungen, die im Einklang mit den von den nationalen Abwicklungsbehörden festgelegten Prüfungshandlungen durchgeführt wurden (zu diesem Zweck soll </w:t>
      </w:r>
      <w:r w:rsidRPr="00901313">
        <w:rPr>
          <w:i/>
          <w:szCs w:val="18"/>
        </w:rPr>
        <w:t>die in Anhang I dieses Dokuments angeführte Tabelle verwendet werden und dem Bericht beigefügt sein</w:t>
      </w:r>
      <w:r w:rsidRPr="00901313" w:rsidR="00566750">
        <w:rPr>
          <w:rFonts w:eastAsia="Calibri" w:cstheme="minorHAnsi"/>
          <w:szCs w:val="18"/>
          <w:vertAlign w:val="superscript"/>
        </w:rPr>
        <w:footnoteReference w:id="25"/>
      </w:r>
      <w:r w:rsidRPr="00901313">
        <w:t>);</w:t>
      </w:r>
    </w:p>
    <w:p w:rsidRPr="00901313" w:rsidR="009A50E8" w:rsidP="004F7F73" w:rsidRDefault="005A51D5" w14:paraId="76F04721" w14:textId="7220BF11">
      <w:pPr>
        <w:numPr>
          <w:ilvl w:val="0"/>
          <w:numId w:val="6"/>
        </w:numPr>
        <w:spacing w:after="60" w:line="276" w:lineRule="auto"/>
        <w:ind w:left="714" w:hanging="357"/>
        <w:jc w:val="both"/>
        <w:rPr>
          <w:rFonts w:eastAsia="Calibri" w:cstheme="minorHAnsi"/>
          <w:szCs w:val="18"/>
        </w:rPr>
      </w:pPr>
      <w:r w:rsidRPr="00901313">
        <w:t>Vollständiger Datenbogen des Instituts für das Bezugsjahr;</w:t>
      </w:r>
    </w:p>
    <w:p w:rsidRPr="00901313" w:rsidR="00445F86" w:rsidP="004F7F73" w:rsidRDefault="00445F86" w14:paraId="2F4C3D41" w14:textId="05CC4C65">
      <w:pPr>
        <w:numPr>
          <w:ilvl w:val="0"/>
          <w:numId w:val="6"/>
        </w:numPr>
        <w:spacing w:after="60" w:line="276" w:lineRule="auto"/>
        <w:ind w:left="714" w:hanging="357"/>
        <w:jc w:val="both"/>
        <w:rPr>
          <w:rFonts w:eastAsia="Calibri" w:cstheme="minorHAnsi"/>
          <w:szCs w:val="18"/>
        </w:rPr>
      </w:pPr>
      <w:r w:rsidRPr="00901313">
        <w:t>eine Beschreibung der Prüfungsfeststellungen des Prüfers, einschließlich der ermittelten Ausnahmen mit ausreichenden Angaben zu Fehlern und des vom Prüfer berechneten Betrags;</w:t>
      </w:r>
    </w:p>
    <w:p w:rsidRPr="00901313" w:rsidR="00445F86" w:rsidP="004F7F73" w:rsidRDefault="00445F86" w14:paraId="1AD6A5B5" w14:textId="099B6C1A">
      <w:pPr>
        <w:numPr>
          <w:ilvl w:val="0"/>
          <w:numId w:val="6"/>
        </w:numPr>
        <w:spacing w:after="60" w:line="276" w:lineRule="auto"/>
        <w:ind w:left="714" w:hanging="357"/>
        <w:jc w:val="both"/>
        <w:rPr>
          <w:rFonts w:eastAsia="Calibri" w:cstheme="minorHAnsi"/>
          <w:szCs w:val="18"/>
        </w:rPr>
      </w:pPr>
      <w:r w:rsidRPr="00901313">
        <w:t>Erklärung, dass die durchgeführten Prüfungshandlungen weder eine Wirtschaftsprüfung noch eine prüferische Durchsicht darstellen und daher keine Zusicherung abgegeben wird;</w:t>
      </w:r>
    </w:p>
    <w:p w:rsidRPr="00901313" w:rsidR="00445F86" w:rsidP="004F7F73" w:rsidRDefault="00445F86" w14:paraId="379FC1FC" w14:textId="2A8ED7C5">
      <w:pPr>
        <w:numPr>
          <w:ilvl w:val="0"/>
          <w:numId w:val="6"/>
        </w:numPr>
        <w:spacing w:after="60" w:line="276" w:lineRule="auto"/>
        <w:ind w:left="714" w:hanging="357"/>
        <w:jc w:val="both"/>
        <w:rPr>
          <w:rFonts w:eastAsia="Calibri" w:cstheme="minorHAnsi"/>
          <w:szCs w:val="18"/>
        </w:rPr>
      </w:pPr>
      <w:r w:rsidRPr="00901313">
        <w:t>eine Erklärung, dass, falls der Prüfer zusätzliche Prüfungshandlungen bzw. eine Abschlussprüfung oder prüferische Durchsicht durchgeführt hätte, womöglich andere Sachverhalte ans Licht gekommen wären, die gemeldet worden wären;</w:t>
      </w:r>
    </w:p>
    <w:p w:rsidRPr="00901313" w:rsidR="00445F86" w:rsidP="004F7F73" w:rsidRDefault="00445F86" w14:paraId="06E1A0FD" w14:textId="44F86E7E">
      <w:pPr>
        <w:numPr>
          <w:ilvl w:val="0"/>
          <w:numId w:val="6"/>
        </w:numPr>
        <w:spacing w:after="60" w:line="276" w:lineRule="auto"/>
        <w:ind w:left="714" w:hanging="357"/>
        <w:jc w:val="both"/>
        <w:rPr>
          <w:rFonts w:eastAsia="Calibri" w:cstheme="minorHAnsi"/>
          <w:szCs w:val="18"/>
        </w:rPr>
      </w:pPr>
      <w:r w:rsidRPr="00901313">
        <w:t>eine Erklärung, dass der Prüfungsbericht auf diejenigen Parteien beschränkt ist, die den durchzuführenden Prüfungshandlungen zugestimmt haben;</w:t>
      </w:r>
    </w:p>
    <w:p w:rsidRPr="00901313" w:rsidR="00445F86" w:rsidP="004F7F73" w:rsidRDefault="00445F86" w14:paraId="18E9C57B" w14:textId="09B3AE05">
      <w:pPr>
        <w:numPr>
          <w:ilvl w:val="0"/>
          <w:numId w:val="6"/>
        </w:numPr>
        <w:spacing w:after="60" w:line="276" w:lineRule="auto"/>
        <w:ind w:left="714" w:hanging="357"/>
        <w:jc w:val="both"/>
        <w:rPr>
          <w:rFonts w:eastAsia="Calibri" w:cstheme="minorHAnsi"/>
          <w:szCs w:val="18"/>
        </w:rPr>
      </w:pPr>
      <w:r w:rsidRPr="00901313">
        <w:t>eine Erklärung (falls zutreffend), dass sich der Prüfungsbericht nur auf die angegebenen Elemente, Konten, Posten oder finanziellen und nichtfinanziellen Informationen bezieht und sich nicht auf den Jahresabschluss des Unternehmens als Ganzes erstreckt;</w:t>
      </w:r>
    </w:p>
    <w:p w:rsidRPr="00901313" w:rsidR="00445F86" w:rsidP="004F7F73" w:rsidRDefault="00445F86" w14:paraId="5B49C2AB" w14:textId="4D27ABEA">
      <w:pPr>
        <w:numPr>
          <w:ilvl w:val="0"/>
          <w:numId w:val="6"/>
        </w:numPr>
        <w:spacing w:after="60" w:line="276" w:lineRule="auto"/>
        <w:ind w:left="714" w:hanging="357"/>
        <w:jc w:val="both"/>
        <w:rPr>
          <w:rFonts w:eastAsia="Calibri" w:cstheme="minorHAnsi"/>
          <w:szCs w:val="18"/>
        </w:rPr>
      </w:pPr>
      <w:r w:rsidRPr="00901313">
        <w:t>Datum des Berichts;</w:t>
      </w:r>
    </w:p>
    <w:p w:rsidRPr="00901313" w:rsidR="00445F86" w:rsidP="004F7F73" w:rsidRDefault="00445F86" w14:paraId="37BE02CC" w14:textId="77777777">
      <w:pPr>
        <w:numPr>
          <w:ilvl w:val="0"/>
          <w:numId w:val="6"/>
        </w:numPr>
        <w:spacing w:after="60" w:line="276" w:lineRule="auto"/>
        <w:ind w:left="714" w:hanging="357"/>
        <w:jc w:val="both"/>
        <w:rPr>
          <w:rFonts w:eastAsia="Calibri" w:cstheme="minorHAnsi"/>
          <w:szCs w:val="18"/>
        </w:rPr>
      </w:pPr>
      <w:r w:rsidRPr="00901313">
        <w:t>Anschrift des Prüfers und</w:t>
      </w:r>
    </w:p>
    <w:p w:rsidRPr="00901313" w:rsidR="00445F86" w:rsidP="004F7F73" w:rsidRDefault="00445F86" w14:paraId="0F7E1C70" w14:textId="7B4DBFAC">
      <w:pPr>
        <w:numPr>
          <w:ilvl w:val="0"/>
          <w:numId w:val="6"/>
        </w:numPr>
        <w:spacing w:after="200" w:line="276" w:lineRule="auto"/>
        <w:contextualSpacing/>
        <w:jc w:val="both"/>
        <w:rPr>
          <w:rFonts w:eastAsia="Calibri" w:cstheme="minorHAnsi"/>
          <w:szCs w:val="18"/>
        </w:rPr>
      </w:pPr>
      <w:r w:rsidRPr="00901313">
        <w:t>Unterschrift des Prüfers / elektronische Unterschrift.</w:t>
      </w:r>
    </w:p>
    <w:p w:rsidRPr="00901313" w:rsidR="00AD0726" w:rsidP="000F14BF" w:rsidRDefault="00AD0726" w14:paraId="70BF21E4" w14:textId="77777777">
      <w:pPr>
        <w:spacing w:after="200" w:line="276" w:lineRule="auto"/>
        <w:ind w:left="720"/>
        <w:contextualSpacing/>
        <w:jc w:val="both"/>
        <w:rPr>
          <w:rFonts w:eastAsia="Calibri" w:cstheme="minorHAnsi"/>
          <w:szCs w:val="18"/>
        </w:rPr>
      </w:pPr>
    </w:p>
    <w:p w:rsidRPr="00901313" w:rsidR="000723E4" w:rsidP="000723E4" w:rsidRDefault="000723E4" w14:paraId="0F8C9C2B" w14:textId="17554A7E">
      <w:pPr>
        <w:rPr>
          <w:rFonts w:cstheme="minorHAnsi"/>
          <w:szCs w:val="18"/>
        </w:rPr>
      </w:pPr>
    </w:p>
    <w:p w:rsidRPr="00901313" w:rsidR="009A50E8" w:rsidP="000723E4" w:rsidRDefault="009A50E8" w14:paraId="3E179452" w14:textId="536BCBD2">
      <w:pPr>
        <w:rPr>
          <w:rFonts w:cstheme="minorHAnsi"/>
          <w:szCs w:val="18"/>
        </w:rPr>
      </w:pPr>
    </w:p>
    <w:p w:rsidRPr="00901313" w:rsidR="009A50E8" w:rsidP="000723E4" w:rsidRDefault="009A50E8" w14:paraId="69770D3B" w14:textId="77777777">
      <w:pPr>
        <w:rPr>
          <w:rFonts w:cstheme="minorHAnsi"/>
          <w:szCs w:val="18"/>
        </w:rPr>
      </w:pPr>
    </w:p>
    <w:sectPr w:rsidRPr="00901313" w:rsidR="009A50E8" w:rsidSect="00502309">
      <w:headerReference w:type="even" r:id="rId11"/>
      <w:headerReference w:type="default" r:id="rId12"/>
      <w:footerReference w:type="even" r:id="rId13"/>
      <w:footerReference w:type="default" r:id="rId14"/>
      <w:headerReference w:type="first" r:id="rId15"/>
      <w:footerReference w:type="first" r:id="rId16"/>
      <w:pgSz w:w="11906" w:h="16838" w:code="9"/>
      <w:pgMar w:top="1361" w:right="1134" w:bottom="851" w:left="1134" w:header="709" w:footer="4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1A7CA" w14:textId="77777777" w:rsidR="00A526B2" w:rsidRPr="00901313" w:rsidRDefault="00A526B2" w:rsidP="00AA7711">
      <w:r w:rsidRPr="00901313">
        <w:separator/>
      </w:r>
    </w:p>
  </w:endnote>
  <w:endnote w:type="continuationSeparator" w:id="0">
    <w:p w14:paraId="30EC7E2E" w14:textId="77777777" w:rsidR="00A526B2" w:rsidRPr="00901313" w:rsidRDefault="00A526B2" w:rsidP="00AA7711">
      <w:r w:rsidRPr="009013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01313" w:rsidR="00901313" w:rsidRDefault="00901313" w14:paraId="6C9872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3"/>
      <w:tblW w:w="17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2426"/>
      <w:gridCol w:w="2326"/>
      <w:gridCol w:w="9638"/>
    </w:tblGrid>
    <w:tr w:rsidRPr="00901313" w:rsidR="00A526B2" w:rsidTr="00502309" w14:paraId="2B2761B8" w14:textId="77777777">
      <w:trPr>
        <w:trHeight w:val="20"/>
      </w:trPr>
      <w:tc>
        <w:tcPr>
          <w:tcW w:w="3402" w:type="dxa"/>
        </w:tcPr>
        <w:p w:rsidRPr="00901313" w:rsidR="00A526B2" w:rsidP="00502309" w:rsidRDefault="00A526B2" w14:paraId="424DBB5F" w14:textId="6B0D27B1">
          <w:pPr>
            <w:tabs>
              <w:tab w:val="center" w:pos="4536"/>
              <w:tab w:val="right" w:pos="9072"/>
            </w:tabs>
            <w:spacing w:before="60" w:line="240" w:lineRule="auto"/>
            <w:rPr>
              <w:color w:val="005EB8"/>
              <w:sz w:val="16"/>
              <w:szCs w:val="16"/>
              <w:lang w:val="en-US"/>
            </w:rPr>
          </w:pPr>
        </w:p>
      </w:tc>
      <w:tc>
        <w:tcPr>
          <w:tcW w:w="2426" w:type="dxa"/>
        </w:tcPr>
        <w:p w:rsidRPr="00901313" w:rsidR="00A526B2" w:rsidP="00502309" w:rsidRDefault="00A526B2" w14:paraId="3B1A056E" w14:textId="126FEE14">
          <w:pPr>
            <w:tabs>
              <w:tab w:val="center" w:pos="4536"/>
              <w:tab w:val="right" w:pos="9072"/>
            </w:tabs>
            <w:spacing w:before="60" w:line="240" w:lineRule="auto"/>
            <w:rPr>
              <w:sz w:val="16"/>
              <w:szCs w:val="16"/>
              <w:lang w:val="en-US"/>
            </w:rPr>
          </w:pPr>
        </w:p>
      </w:tc>
      <w:tc>
        <w:tcPr>
          <w:tcW w:w="2326" w:type="dxa"/>
        </w:tcPr>
        <w:p w:rsidRPr="00901313" w:rsidR="00A526B2" w:rsidP="00502309" w:rsidRDefault="00A526B2" w14:paraId="704F0D9F" w14:textId="706CA12B">
          <w:pPr>
            <w:tabs>
              <w:tab w:val="center" w:pos="4536"/>
              <w:tab w:val="right" w:pos="9072"/>
            </w:tabs>
            <w:spacing w:before="60" w:line="240" w:lineRule="auto"/>
            <w:ind w:left="-106"/>
            <w:rPr>
              <w:noProof/>
              <w:sz w:val="16"/>
              <w:szCs w:val="16"/>
              <w:lang w:val="en-US"/>
            </w:rPr>
          </w:pPr>
        </w:p>
      </w:tc>
      <w:tc>
        <w:tcPr>
          <w:tcW w:w="9638" w:type="dxa"/>
        </w:tcPr>
        <w:p w:rsidRPr="00901313" w:rsidR="00A526B2" w:rsidP="00502309" w:rsidRDefault="00A526B2" w14:paraId="23CA839A" w14:textId="3DAB51C4">
          <w:pPr>
            <w:tabs>
              <w:tab w:val="center" w:pos="4536"/>
              <w:tab w:val="right" w:pos="9072"/>
            </w:tabs>
            <w:spacing w:before="60" w:line="240" w:lineRule="auto"/>
            <w:ind w:left="-108"/>
            <w:rPr>
              <w:noProof/>
              <w:sz w:val="16"/>
              <w:szCs w:val="16"/>
              <w:lang w:val="en-US"/>
            </w:rPr>
          </w:pPr>
        </w:p>
      </w:tc>
    </w:tr>
  </w:tbl>
  <w:tbl>
    <w:tblPr>
      <w:tblStyle w:val="TableGrid1"/>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81"/>
    </w:tblGrid>
    <w:tr w:rsidRPr="00901313" w:rsidR="00A526B2" w:rsidTr="000A2ADD" w14:paraId="6BA3C82F" w14:textId="77777777">
      <w:trPr>
        <w:trHeight w:val="20"/>
      </w:trPr>
      <w:tc>
        <w:tcPr>
          <w:tcW w:w="9781" w:type="dxa"/>
          <w:hideMark/>
        </w:tcPr>
        <w:p w:rsidRPr="00901313" w:rsidR="00A526B2" w:rsidP="000A2ADD" w:rsidRDefault="00A526B2" w14:paraId="77AE0FDF" w14:textId="726DA379">
          <w:pPr>
            <w:tabs>
              <w:tab w:val="center" w:pos="4536"/>
              <w:tab w:val="right" w:pos="9072"/>
            </w:tabs>
            <w:spacing w:before="30"/>
            <w:jc w:val="right"/>
            <w:rPr>
              <w:noProof/>
              <w:sz w:val="16"/>
              <w:szCs w:val="16"/>
            </w:rPr>
          </w:pPr>
          <w:r w:rsidRPr="00901313">
            <w:rPr>
              <w:color w:val="000000" w:themeColor="text1"/>
              <w:szCs w:val="18"/>
            </w:rPr>
            <w:fldChar w:fldCharType="begin"/>
          </w:r>
          <w:r w:rsidRPr="00901313">
            <w:rPr>
              <w:color w:val="000000" w:themeColor="text1"/>
              <w:szCs w:val="18"/>
            </w:rPr>
            <w:instrText xml:space="preserve"> PAGE   \* MERGEFORMAT </w:instrText>
          </w:r>
          <w:r w:rsidRPr="00901313">
            <w:rPr>
              <w:color w:val="000000" w:themeColor="text1"/>
              <w:szCs w:val="18"/>
            </w:rPr>
            <w:fldChar w:fldCharType="separate"/>
          </w:r>
          <w:r w:rsidRPr="00901313" w:rsidR="00B77BBD">
            <w:rPr>
              <w:color w:val="000000" w:themeColor="text1"/>
              <w:szCs w:val="18"/>
            </w:rPr>
            <w:t>2</w:t>
          </w:r>
          <w:r w:rsidRPr="00901313">
            <w:rPr>
              <w:color w:val="000000" w:themeColor="text1"/>
              <w:szCs w:val="18"/>
            </w:rPr>
            <w:fldChar w:fldCharType="end"/>
          </w:r>
        </w:p>
      </w:tc>
    </w:tr>
  </w:tbl>
  <w:p w:rsidRPr="00901313" w:rsidR="00A526B2" w:rsidP="00502309" w:rsidRDefault="00A526B2" w14:paraId="0CF21BE9" w14:textId="212E6A77">
    <w:pPr>
      <w:tabs>
        <w:tab w:val="center" w:pos="4536"/>
        <w:tab w:val="right" w:pos="9072"/>
      </w:tabs>
      <w:spacing w:line="240" w:lineRule="auto"/>
      <w:rPr>
        <w:rFonts w:ascii="Arial" w:hAnsi="Arial" w:eastAsia="Arial" w:cs="Times New Roman"/>
      </w:rPr>
    </w:pPr>
  </w:p>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77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2426"/>
      <w:gridCol w:w="2326"/>
      <w:gridCol w:w="9638"/>
    </w:tblGrid>
    <w:tr w:rsidRPr="00901313" w:rsidR="00A526B2" w:rsidTr="00A526B2" w14:paraId="4EE424AA" w14:textId="77777777">
      <w:trPr>
        <w:trHeight w:val="20"/>
      </w:trPr>
      <w:tc>
        <w:tcPr>
          <w:tcW w:w="3402" w:type="dxa"/>
        </w:tcPr>
        <w:p w:rsidRPr="00901313" w:rsidR="00A526B2" w:rsidP="00F1399F" w:rsidRDefault="00A526B2" w14:paraId="75BB0233" w14:textId="77777777">
          <w:pPr>
            <w:pStyle w:val="Footer"/>
            <w:spacing w:before="60"/>
            <w:rPr>
              <w:color w:val="005EB8"/>
              <w:sz w:val="16"/>
              <w:szCs w:val="16"/>
            </w:rPr>
          </w:pPr>
          <w:r w:rsidRPr="00901313">
            <w:rPr>
              <w:b/>
              <w:bCs/>
              <w:color w:val="5E93DB" w:themeColor="accent1"/>
              <w:sz w:val="16"/>
              <w:szCs w:val="16"/>
            </w:rPr>
            <w:cr/>
          </w:r>
          <w:r w:rsidRPr="00901313">
            <w:rPr>
              <w:b/>
              <w:bCs/>
              <w:color w:val="5E93DB" w:themeColor="accent1"/>
              <w:sz w:val="16"/>
              <w:szCs w:val="16"/>
            </w:rPr>
            <w:br/>
          </w:r>
          <w:r w:rsidRPr="00901313">
            <w:rPr>
              <w:b/>
              <w:bCs/>
              <w:color w:val="005EB8"/>
              <w:sz w:val="16"/>
              <w:szCs w:val="16"/>
            </w:rPr>
            <w:t>Einheitlicher Abwicklungsausschuss</w:t>
          </w:r>
        </w:p>
      </w:tc>
      <w:tc>
        <w:tcPr>
          <w:tcW w:w="2426" w:type="dxa"/>
        </w:tcPr>
        <w:p w:rsidRPr="00901313" w:rsidR="00A526B2" w:rsidP="00F1399F" w:rsidRDefault="00A526B2" w14:paraId="2250476E" w14:textId="1F216501">
          <w:pPr>
            <w:pStyle w:val="Footer"/>
            <w:spacing w:before="60"/>
            <w:rPr>
              <w:sz w:val="16"/>
              <w:szCs w:val="16"/>
            </w:rPr>
          </w:pPr>
          <w:r w:rsidRPr="00901313">
            <w:rPr>
              <w:sz w:val="16"/>
              <w:szCs w:val="16"/>
            </w:rPr>
            <w:t>Treurenberg 22</w:t>
          </w:r>
          <w:r w:rsidRPr="00901313">
            <w:rPr>
              <w:sz w:val="16"/>
              <w:szCs w:val="16"/>
            </w:rPr>
            <w:cr/>
          </w:r>
          <w:r w:rsidRPr="00901313">
            <w:rPr>
              <w:sz w:val="16"/>
              <w:szCs w:val="16"/>
            </w:rPr>
            <w:br/>
            <w:t>1049 Brüssel, Belgien</w:t>
          </w:r>
        </w:p>
      </w:tc>
      <w:tc>
        <w:tcPr>
          <w:tcW w:w="2326" w:type="dxa"/>
        </w:tcPr>
        <w:p w:rsidRPr="00901313" w:rsidR="008A1AA4" w:rsidP="00F1399F" w:rsidRDefault="00A526B2" w14:paraId="3EC54626" w14:textId="77777777">
          <w:pPr>
            <w:pStyle w:val="Footer"/>
            <w:spacing w:before="60"/>
            <w:ind w:left="-106"/>
            <w:rPr>
              <w:noProof/>
              <w:sz w:val="16"/>
              <w:szCs w:val="16"/>
            </w:rPr>
          </w:pPr>
          <w:r w:rsidRPr="00901313">
            <w:rPr>
              <w:color w:val="5E93DB" w:themeColor="accent1"/>
              <w:sz w:val="16"/>
              <w:szCs w:val="16"/>
            </w:rPr>
            <w:t>T</w:t>
          </w:r>
          <w:r w:rsidRPr="00901313">
            <w:rPr>
              <w:sz w:val="16"/>
              <w:szCs w:val="16"/>
            </w:rPr>
            <w:t xml:space="preserve"> +32 2 490 30 00</w:t>
          </w:r>
        </w:p>
        <w:p w:rsidRPr="00901313" w:rsidR="00A526B2" w:rsidP="00F1399F" w:rsidRDefault="00A526B2" w14:paraId="7CD11CE6" w14:textId="30B8DB64">
          <w:pPr>
            <w:pStyle w:val="Footer"/>
            <w:spacing w:before="60"/>
            <w:ind w:left="-106"/>
            <w:rPr>
              <w:noProof/>
              <w:sz w:val="16"/>
              <w:szCs w:val="16"/>
            </w:rPr>
          </w:pPr>
          <w:r w:rsidRPr="00901313">
            <w:rPr>
              <w:color w:val="5E93DB" w:themeColor="accent1"/>
              <w:sz w:val="16"/>
              <w:szCs w:val="16"/>
            </w:rPr>
            <w:t>E</w:t>
          </w:r>
          <w:r w:rsidRPr="00901313">
            <w:rPr>
              <w:sz w:val="16"/>
              <w:szCs w:val="16"/>
            </w:rPr>
            <w:t xml:space="preserve"> </w:t>
          </w:r>
          <w:r w:rsidRPr="00901313">
            <w:rPr>
              <w:rStyle w:val="DnEx1"/>
            </w:rPr>
            <w:t>srb-info@srb.europa.eu</w:t>
          </w:r>
        </w:p>
      </w:tc>
      <w:tc>
        <w:tcPr>
          <w:tcW w:w="9638" w:type="dxa"/>
        </w:tcPr>
        <w:p w:rsidRPr="00901313" w:rsidR="00A526B2" w:rsidP="00F1399F" w:rsidRDefault="00A526B2" w14:paraId="7D4EB0DE" w14:textId="77777777">
          <w:pPr>
            <w:pStyle w:val="Footer"/>
            <w:spacing w:before="60"/>
            <w:ind w:left="-108"/>
            <w:rPr>
              <w:noProof/>
              <w:sz w:val="16"/>
              <w:szCs w:val="16"/>
            </w:rPr>
          </w:pPr>
          <w:r w:rsidRPr="00901313">
            <w:rPr>
              <w:noProof/>
              <w:sz w:val="16"/>
              <w:szCs w:val="16"/>
              <w:lang w:eastAsia="en-GB"/>
            </w:rPr>
            <w:drawing>
              <wp:anchor distT="0" distB="0" distL="53975" distR="53975" simplePos="0" relativeHeight="251668480" behindDoc="0" locked="0" layoutInCell="1" allowOverlap="1" wp14:editId="177D51F4" wp14:anchorId="67468586">
                <wp:simplePos x="0" y="0"/>
                <wp:positionH relativeFrom="column">
                  <wp:posOffset>-62865</wp:posOffset>
                </wp:positionH>
                <wp:positionV relativeFrom="paragraph">
                  <wp:posOffset>44450</wp:posOffset>
                </wp:positionV>
                <wp:extent cx="107950" cy="107950"/>
                <wp:effectExtent l="0" t="0" r="6350" b="6350"/>
                <wp:wrapTight wrapText="bothSides">
                  <wp:wrapPolygon edited="0">
                    <wp:start x="0" y="0"/>
                    <wp:lineTo x="0" y="19059"/>
                    <wp:lineTo x="19059" y="19059"/>
                    <wp:lineTo x="19059" y="0"/>
                    <wp:lineTo x="0"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margin">
                  <wp14:pctWidth>0</wp14:pctWidth>
                </wp14:sizeRelH>
                <wp14:sizeRelV relativeFrom="margin">
                  <wp14:pctHeight>0</wp14:pctHeight>
                </wp14:sizeRelV>
              </wp:anchor>
            </w:drawing>
          </w:r>
          <w:r w:rsidRPr="008A3BE6">
            <w:rPr>
              <w:sz w:val="16"/>
              <w:szCs w:val="16"/>
            </w:rPr>
            <w:t>@EU_SRB</w:t>
          </w:r>
          <w:r w:rsidRPr="008A3BE6">
            <w:rPr>
              <w:sz w:val="16"/>
              <w:szCs w:val="16"/>
            </w:rPr>
            <w:cr/>
          </w:r>
          <w:r w:rsidRPr="008A3BE6">
            <w:rPr>
              <w:sz w:val="16"/>
              <w:szCs w:val="16"/>
            </w:rPr>
            <w:br/>
          </w:r>
          <w:r w:rsidRPr="008A3BE6">
            <w:rPr>
              <w:b/>
              <w:bCs/>
              <w:color w:val="005EB8"/>
              <w:sz w:val="16"/>
              <w:szCs w:val="16"/>
            </w:rPr>
            <w:t>srb.europa.eu</w:t>
          </w:r>
        </w:p>
      </w:tc>
    </w:tr>
  </w:tbl>
  <w:p w:rsidRPr="008A3BE6" w:rsidR="00A526B2" w:rsidP="00F1399F" w:rsidRDefault="00A526B2" w14:paraId="187209F0" w14:textId="0A1D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47FC8" w14:textId="77777777" w:rsidR="00A526B2" w:rsidRPr="00901313" w:rsidRDefault="00A526B2" w:rsidP="00AA7711">
      <w:pPr>
        <w:rPr>
          <w:color w:val="005EB8" w:themeColor="text2"/>
        </w:rPr>
      </w:pPr>
      <w:r w:rsidRPr="00901313">
        <w:rPr>
          <w:color w:val="005EB8" w:themeColor="text2"/>
        </w:rPr>
        <w:separator/>
      </w:r>
    </w:p>
  </w:footnote>
  <w:footnote w:type="continuationSeparator" w:id="0">
    <w:p w14:paraId="6DCA4387" w14:textId="77777777" w:rsidR="00A526B2" w:rsidRPr="00901313" w:rsidRDefault="00A526B2" w:rsidP="00AA7711">
      <w:pPr>
        <w:rPr>
          <w:color w:val="005EB8" w:themeColor="text2"/>
        </w:rPr>
      </w:pPr>
      <w:r w:rsidRPr="00901313">
        <w:rPr>
          <w:color w:val="005EB8" w:themeColor="text2"/>
        </w:rPr>
        <w:continuationSeparator/>
      </w:r>
    </w:p>
  </w:footnote>
  <w:footnote w:type="continuationNotice" w:id="1">
    <w:p w14:paraId="6730AF31" w14:textId="77777777" w:rsidR="00A526B2" w:rsidRPr="00901313" w:rsidRDefault="00A526B2">
      <w:pPr>
        <w:spacing w:line="240" w:lineRule="auto"/>
      </w:pPr>
    </w:p>
  </w:footnote>
  <w:footnote w:id="2">
    <w:p w14:paraId="7C43378D" w14:textId="77777777" w:rsidR="00A526B2" w:rsidRPr="00901313" w:rsidRDefault="00A526B2" w:rsidP="003C1568">
      <w:pPr>
        <w:pStyle w:val="FootnoteText"/>
        <w:spacing w:after="0"/>
      </w:pPr>
      <w:r w:rsidRPr="00901313">
        <w:rPr>
          <w:rStyle w:val="FootnoteReference"/>
        </w:rPr>
        <w:footnoteRef/>
      </w:r>
      <w:r w:rsidRPr="00901313">
        <w:t xml:space="preserve"> In Einklang mit der Delegierten Verordnung (EU) 2015/63 der Kommission, Artikel 10 Absätze 1 bis 6.</w:t>
      </w:r>
    </w:p>
  </w:footnote>
  <w:footnote w:id="3">
    <w:p w14:paraId="680286B6" w14:textId="79E7BB63" w:rsidR="00817C17" w:rsidRPr="00901313" w:rsidRDefault="00817C17" w:rsidP="00817C17">
      <w:pPr>
        <w:pStyle w:val="FootnoteText"/>
        <w:spacing w:after="0"/>
      </w:pPr>
      <w:r w:rsidRPr="00901313">
        <w:rPr>
          <w:rStyle w:val="FootnoteReference"/>
        </w:rPr>
        <w:footnoteRef/>
      </w:r>
      <w:r w:rsidRPr="00901313">
        <w:t xml:space="preserve"> In Einklang mit der Delegierten Verordnung (EU) 2015/63 der Kommission, Artikel 10 Absatz 7.</w:t>
      </w:r>
    </w:p>
  </w:footnote>
  <w:footnote w:id="4">
    <w:p w14:paraId="04A72597" w14:textId="76B6C419" w:rsidR="00BD53A5" w:rsidRPr="00901313" w:rsidRDefault="00BD53A5" w:rsidP="003C1568">
      <w:pPr>
        <w:spacing w:line="240" w:lineRule="auto"/>
        <w:jc w:val="both"/>
      </w:pPr>
      <w:r w:rsidRPr="00901313">
        <w:rPr>
          <w:rStyle w:val="FootnoteReference"/>
          <w:sz w:val="16"/>
          <w:szCs w:val="16"/>
        </w:rPr>
        <w:footnoteRef/>
      </w:r>
      <w:r w:rsidRPr="00901313">
        <w:rPr>
          <w:sz w:val="16"/>
          <w:szCs w:val="16"/>
        </w:rPr>
        <w:t xml:space="preserve"> Um Zweifel auszuschließen sind die vereinbarten Prüfungshandlungen für einen Datenpunkt erforderlich, der in Übereinstimmung mit einer Ex-ante-Datenüberprüfung (sog. Additional Data Verification Exercise, ADVE) angepasst werden soll, wenn dieser Datenpunkt in den Geltungsbereich der zusätzlichen Zusicherung fällt.</w:t>
      </w:r>
    </w:p>
  </w:footnote>
  <w:footnote w:id="5">
    <w:p w14:paraId="1A4D9CB2" w14:textId="7DA083F6" w:rsidR="00CD2F9C" w:rsidRPr="00901313" w:rsidRDefault="00CD2F9C" w:rsidP="003C1568">
      <w:pPr>
        <w:spacing w:line="240" w:lineRule="auto"/>
        <w:jc w:val="both"/>
        <w:rPr>
          <w:rFonts w:cstheme="minorHAnsi"/>
          <w:sz w:val="16"/>
          <w:szCs w:val="16"/>
        </w:rPr>
      </w:pPr>
      <w:r w:rsidRPr="00901313">
        <w:rPr>
          <w:rStyle w:val="FootnoteReference"/>
          <w:sz w:val="16"/>
          <w:szCs w:val="16"/>
        </w:rPr>
        <w:footnoteRef/>
      </w:r>
      <w:r w:rsidRPr="00901313">
        <w:rPr>
          <w:sz w:val="16"/>
          <w:szCs w:val="16"/>
        </w:rPr>
        <w:t xml:space="preserve"> Spätestens jedoch am 10. März 2023.</w:t>
      </w:r>
    </w:p>
    <w:p w14:paraId="2E812937" w14:textId="77777777" w:rsidR="00CD2F9C" w:rsidRPr="00901313" w:rsidRDefault="00CD2F9C" w:rsidP="00CD2F9C">
      <w:pPr>
        <w:pStyle w:val="FootnoteText"/>
      </w:pPr>
    </w:p>
  </w:footnote>
  <w:footnote w:id="6">
    <w:p w14:paraId="6B8B1BA3" w14:textId="52A641E0" w:rsidR="00C62191" w:rsidRPr="00901313" w:rsidRDefault="00C62191" w:rsidP="0027713C">
      <w:pPr>
        <w:pStyle w:val="BodyText"/>
        <w:spacing w:after="0"/>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„Ja“ bedeutet, dass eine Feststellung oder eine Abweichung zu melden ist (in diesem Fall sollen der Datenpunkt und der korrekte Betrag in der Spalte „Beschreibung der Prüfungsfeststellungen oder/und Kommentare“ deutlich gekennzeichnet werden, und der korrigierte Meldebogen ist den vereinbarten Prüfungshandlungen beizufügen). „Nein“ bedeutet, dass keine Feststellung oder keine Abweichung zu melden ist, „n. z.“ bedeutet, dass die Prüfungshandlung für das Institut nicht zutreffend ist.</w:t>
      </w:r>
    </w:p>
  </w:footnote>
  <w:footnote w:id="7">
    <w:p w14:paraId="016F9286" w14:textId="05FB0F65" w:rsidR="0090114E" w:rsidRPr="00901313" w:rsidRDefault="0090114E" w:rsidP="0027713C">
      <w:pPr>
        <w:pStyle w:val="BodyText"/>
        <w:spacing w:after="0"/>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Besteht eine Feststellung, geben Sie bitte ausdrücklich das betreffende Feld und den Betrag an, die das Institut hätte melden müssen.</w:t>
      </w:r>
    </w:p>
  </w:footnote>
  <w:footnote w:id="8">
    <w:p w14:paraId="767D61F3" w14:textId="0945DD22" w:rsidR="00C878C2" w:rsidRPr="00901313" w:rsidRDefault="00C878C2">
      <w:pPr>
        <w:pStyle w:val="FootnoteText"/>
      </w:pPr>
      <w:r w:rsidRPr="00901313">
        <w:rPr>
          <w:rStyle w:val="FootnoteReference"/>
        </w:rPr>
        <w:footnoteRef/>
      </w:r>
      <w:r w:rsidRPr="00901313">
        <w:t xml:space="preserve"> Anhang III mit der vom Ausschuss getroffenen Entscheidung zu Datenformaten, Darstellungsformen, dazugehörigen Anforderungen und Anweisungen bezüglich einer zusätzlichen Zusicherung für Institute bei der Übermittlung von Informationen, die für die Berechnung der im Voraus erhobenen Beiträge zum Einheitlichen Abwicklungsfonds für 2023 erforderlich sind.</w:t>
      </w:r>
    </w:p>
  </w:footnote>
  <w:footnote w:id="9">
    <w:p w14:paraId="39B707BF" w14:textId="77777777" w:rsidR="00A526B2" w:rsidRPr="00901313" w:rsidRDefault="00A526B2" w:rsidP="0027713C">
      <w:pPr>
        <w:pStyle w:val="FootnoteText"/>
        <w:spacing w:after="0"/>
      </w:pPr>
      <w:r w:rsidRPr="00901313">
        <w:rPr>
          <w:rStyle w:val="FootnoteReference"/>
        </w:rPr>
        <w:footnoteRef/>
      </w:r>
      <w:r w:rsidRPr="00901313">
        <w:t xml:space="preserve"> Im Folgenden wird auf Leitungsorgan im Sinne von Artikel 88 der Eigenkapitalrichtlinie (Richtlinie 2013/36/EU) Bezug genommen.</w:t>
      </w:r>
    </w:p>
  </w:footnote>
  <w:footnote w:id="10">
    <w:p w14:paraId="6C3B178E" w14:textId="173BE1D7" w:rsidR="00B97EC1" w:rsidRPr="00901313" w:rsidRDefault="00B97EC1" w:rsidP="003C1568">
      <w:pPr>
        <w:pStyle w:val="BodyText"/>
        <w:spacing w:after="0"/>
        <w:jc w:val="both"/>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„Ja“ bedeutet, dass eine Feststellung oder eine Abweichung zu melden ist (in diesem Fall sollen der Datenpunkt und der korrekte Betrag in der Spalte „Beschreibung der Prüfungsfeststellungen oder/und Kommentare“ deutlich gekennzeichnet werden, und der korrigierte Meldebogen ist den vereinbarten Prüfungshandlungen beizufügen). „Nein“ bedeutet, dass keine Feststellung oder keine Abweichung zu melden ist, „n. z.“ bedeutet, dass die Prüfungshandlung für das Institut nicht zutreffend ist.</w:t>
      </w:r>
    </w:p>
  </w:footnote>
  <w:footnote w:id="11">
    <w:p w14:paraId="792245BE" w14:textId="46CD9EE6" w:rsidR="0090114E" w:rsidRPr="00901313" w:rsidRDefault="0090114E" w:rsidP="003C1568">
      <w:pPr>
        <w:pStyle w:val="BodyText"/>
        <w:spacing w:after="0"/>
        <w:jc w:val="both"/>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Besteht eine Feststellung, geben Sie bitte ausdrücklich das betreffende Feld und den Betrag an, die das Institut hätte melden müssen.</w:t>
      </w:r>
    </w:p>
  </w:footnote>
  <w:footnote w:id="12">
    <w:p w14:paraId="3DB0F70A" w14:textId="0B8A51F0" w:rsidR="00A526B2" w:rsidRPr="00901313" w:rsidRDefault="00A526B2" w:rsidP="003C1568">
      <w:pPr>
        <w:pStyle w:val="FootnoteText"/>
        <w:spacing w:after="0"/>
        <w:jc w:val="both"/>
      </w:pPr>
      <w:r w:rsidRPr="00901313">
        <w:rPr>
          <w:rStyle w:val="FootnoteReference"/>
        </w:rPr>
        <w:footnoteRef/>
      </w:r>
      <w:r w:rsidRPr="00901313">
        <w:t xml:space="preserve"> Bedeutet im Folgenden, dass die Zahlen in den zugrunde liegenden Unterlagen mit den Zahlen im Meldebogen verglichen werden.</w:t>
      </w:r>
    </w:p>
  </w:footnote>
  <w:footnote w:id="13">
    <w:p w14:paraId="49020D81" w14:textId="77777777" w:rsidR="00A526B2" w:rsidRPr="00901313" w:rsidRDefault="00A526B2" w:rsidP="003C1568">
      <w:pPr>
        <w:pStyle w:val="FootnoteText"/>
        <w:spacing w:after="0"/>
        <w:jc w:val="both"/>
      </w:pPr>
      <w:r w:rsidRPr="00901313">
        <w:rPr>
          <w:rStyle w:val="FootnoteReference"/>
        </w:rPr>
        <w:footnoteRef/>
      </w:r>
      <w:r w:rsidRPr="00901313">
        <w:t xml:space="preserve"> Bedeutet im Folgenden, dass die Zahlen erneut addiert werden, falls ein Institut Summen gebildet hat.</w:t>
      </w:r>
    </w:p>
  </w:footnote>
  <w:footnote w:id="14">
    <w:p w14:paraId="789AFAC6" w14:textId="56EA951F" w:rsidR="00033932" w:rsidRPr="00901313" w:rsidRDefault="00033932" w:rsidP="003C1568">
      <w:pPr>
        <w:pStyle w:val="BodyText"/>
        <w:spacing w:after="0"/>
        <w:rPr>
          <w:rFonts w:asciiTheme="minorHAnsi" w:hAnsiTheme="minorHAnsi" w:cstheme="minorHAnsi"/>
          <w:sz w:val="16"/>
          <w:szCs w:val="16"/>
          <w:highlight w:val="yellow"/>
        </w:rPr>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Für die Meldungen, die für den Beitragszyklus 2023 fällig sind, ist die Methodik zur Anpassung der Derivate anzuwenden, die in der Leitlinie für 2023 (Anhang III mit der vom Ausschuss getroffenen Entscheidung zu Datenformaten, Darstellungsformen, dazugehörige Anforderungen und Anweisungen bezüglich einer zusätzlichen Zusicherung für Institute bei der Übermittlung von Informationen, die für die Berechnung der im Voraus erhobenen Beiträge zum Einheitlichen Abwicklungsfonds für 2023 erforderlich sind) beschrieben sind.</w:t>
      </w:r>
    </w:p>
  </w:footnote>
  <w:footnote w:id="15">
    <w:p w14:paraId="3B09538D" w14:textId="4F3A1F4B" w:rsidR="007477F3" w:rsidRPr="00901313" w:rsidRDefault="007477F3" w:rsidP="003C1568">
      <w:pPr>
        <w:pStyle w:val="BodyText"/>
        <w:spacing w:after="0"/>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„Ja“ bedeutet, dass eine Feststellung oder eine Abweichung zu melden ist (in diesem Fall sollen der Datenpunkt und der korrekte Betrag in der Spalte „Beschreibung der Prüfungsfeststellungen oder/und Kommentare“ deutlich gekennzeichnet werden, und der korrigierte Meldebogen ist den vereinbarten Prüfungshandlungen beizufügen). „Nein“ bedeutet, dass keine Feststellung oder keine Abweichung zu melden ist, „n. z.“ bedeutet, dass die Prüfungshandlung für das Institut nicht zutreffend ist.</w:t>
      </w:r>
    </w:p>
  </w:footnote>
  <w:footnote w:id="16">
    <w:p w14:paraId="4096E245" w14:textId="77777777" w:rsidR="0090114E" w:rsidRPr="00901313" w:rsidRDefault="0090114E" w:rsidP="003C1568">
      <w:pPr>
        <w:pStyle w:val="BodyText"/>
        <w:spacing w:after="0"/>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Besteht eine Feststellung, geben Sie bitte ausdrücklich das betreffende Feld und den Betrag an, die das Institut hätte melden müssen.</w:t>
      </w:r>
    </w:p>
  </w:footnote>
  <w:footnote w:id="17">
    <w:p w14:paraId="2DDC3116" w14:textId="03CF4FD3" w:rsidR="007477F3" w:rsidRPr="00901313" w:rsidRDefault="007477F3" w:rsidP="003C1568">
      <w:pPr>
        <w:pStyle w:val="BodyText"/>
        <w:spacing w:after="0"/>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„Ja“ bedeutet, dass eine Feststellung oder eine Abweichung zu melden ist (in diesem Fall sollen der Datenpunkt und der korrekte Betrag in der Spalte „Beschreibung der Prüfungsfeststellungen oder/und Kommentare“ deutlich gekennzeichnet werden, und der korrigierte Meldebogen ist den vereinbarten Prüfungshandlungen beizufügen). „Nein“ bedeutet, dass keine Feststellung oder keine Abweichung zu melden ist, „n. z.“ bedeutet, dass die Prüfungshandlung für das Institut nicht zutreffend ist.</w:t>
      </w:r>
    </w:p>
  </w:footnote>
  <w:footnote w:id="18">
    <w:p w14:paraId="3A14D03A" w14:textId="77777777" w:rsidR="0090114E" w:rsidRPr="00901313" w:rsidRDefault="0090114E" w:rsidP="003C1568">
      <w:pPr>
        <w:pStyle w:val="BodyText"/>
        <w:spacing w:after="0"/>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Besteht eine Feststellung, geben Sie bitte ausdrücklich das betreffende Feld und den Betrag an, die das Institut hätte melden müssen.</w:t>
      </w:r>
    </w:p>
  </w:footnote>
  <w:footnote w:id="19">
    <w:p w14:paraId="61B4EF1B" w14:textId="43360162" w:rsidR="007477F3" w:rsidRPr="00901313" w:rsidRDefault="007477F3" w:rsidP="003C1568">
      <w:pPr>
        <w:pStyle w:val="BodyText"/>
        <w:spacing w:after="0"/>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„Ja“ bedeutet, dass eine Feststellung oder eine Abweichung zu melden ist (in diesem Fall sollen der Datenpunkt und der korrekte Betrag in der Spalte „Beschreibung der Prüfungsfeststellungen oder/und Kommentare“ deutlich gekennzeichnet werden, und der korrigierte Meldebogen ist den vereinbarten Prüfungshandlungen beizufügen). „Nein“ bedeutet, dass keine Feststellung oder keine Abweichung zu melden ist, „n. z.“ bedeutet, dass die Prüfungshandlung für das Institut nicht zutreffend ist.</w:t>
      </w:r>
    </w:p>
  </w:footnote>
  <w:footnote w:id="20">
    <w:p w14:paraId="44FB797A" w14:textId="77777777" w:rsidR="0090114E" w:rsidRPr="00901313" w:rsidRDefault="0090114E" w:rsidP="003C1568">
      <w:pPr>
        <w:pStyle w:val="BodyText"/>
        <w:spacing w:after="0"/>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Besteht eine Feststellung, geben Sie bitte ausdrücklich das betreffende Feld und den Betrag an, die das Institut hätte melden müssen.</w:t>
      </w:r>
    </w:p>
  </w:footnote>
  <w:footnote w:id="21">
    <w:p w14:paraId="368F744E" w14:textId="09DFDB21" w:rsidR="007477F3" w:rsidRPr="00901313" w:rsidRDefault="007477F3" w:rsidP="000F14BF">
      <w:pPr>
        <w:pStyle w:val="BodyText"/>
        <w:spacing w:after="0"/>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„Ja“ bedeutet, dass eine Feststellung oder eine Abweichung zu melden ist (in diesem Fall sollen der Datenpunkt und der korrekte Betrag in der Spalte „Beschreibung der Prüfungsfeststellungen oder/und Kommentare“ deutlich gekennzeichnet werden, und der korrigierte Meldebogen ist den vereinbarten Prüfungshandlungen beizufügen). „Nein“ bedeutet, dass keine Feststellung oder keine Abweichung zu melden ist, „n. z.“ bedeutet, dass die Prüfungshandlung für das Institut nicht zutreffend ist.</w:t>
      </w:r>
    </w:p>
  </w:footnote>
  <w:footnote w:id="22">
    <w:p w14:paraId="6748D728" w14:textId="77777777" w:rsidR="0090114E" w:rsidRPr="00901313" w:rsidRDefault="0090114E" w:rsidP="000F14BF">
      <w:pPr>
        <w:pStyle w:val="BodyText"/>
        <w:spacing w:after="0"/>
        <w:jc w:val="both"/>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Besteht eine Feststellung, geben Sie bitte ausdrücklich das betreffende Feld und den Betrag an, die das Institut hätte melden müssen.</w:t>
      </w:r>
    </w:p>
  </w:footnote>
  <w:footnote w:id="23">
    <w:p w14:paraId="4E404831" w14:textId="6BE64240" w:rsidR="00832234" w:rsidRPr="00901313" w:rsidRDefault="00832234" w:rsidP="000F14BF">
      <w:pPr>
        <w:pStyle w:val="BodyText"/>
        <w:spacing w:after="0"/>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„Ja“ bedeutet, dass eine Feststellung oder eine Abweichung zu melden ist (in diesem Fall sollen der Datenpunkt und der korrekte Betrag in der Spalte „Beschreibung der Prüfungsfeststellungen oder/und Kommentare“ deutlich gekennzeichnet werden, und der korrigierte Meldebogen ist den vereinbarten Prüfungshandlungen beizufügen). „Nein“ bedeutet, dass keine Feststellung oder keine Abweichung zu melden ist, „n. z.“ bedeutet, dass die Prüfungshandlung für das Institut nicht zutreffend ist.</w:t>
      </w:r>
    </w:p>
  </w:footnote>
  <w:footnote w:id="24">
    <w:p w14:paraId="42754920" w14:textId="77777777" w:rsidR="0090114E" w:rsidRPr="00901313" w:rsidRDefault="0090114E" w:rsidP="000F14BF">
      <w:pPr>
        <w:pStyle w:val="BodyText"/>
        <w:spacing w:after="0"/>
        <w:jc w:val="both"/>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Besteht eine Feststellung, geben Sie bitte ausdrücklich das betreffende Feld und den Betrag an, die das Institut hätte melden müssen.</w:t>
      </w:r>
    </w:p>
  </w:footnote>
  <w:footnote w:id="25">
    <w:p w14:paraId="5A83F4AA" w14:textId="77777777" w:rsidR="00566750" w:rsidRPr="00901313" w:rsidRDefault="00566750" w:rsidP="00566750">
      <w:pPr>
        <w:pStyle w:val="BodyText"/>
      </w:pPr>
      <w:r w:rsidRPr="00901313">
        <w:rPr>
          <w:rStyle w:val="FootnoteReference"/>
          <w:rFonts w:asciiTheme="minorHAnsi" w:hAnsiTheme="minorHAnsi" w:cstheme="minorHAnsi"/>
          <w:sz w:val="16"/>
          <w:szCs w:val="16"/>
        </w:rPr>
        <w:footnoteRef/>
      </w:r>
      <w:r w:rsidRPr="00901313">
        <w:rPr>
          <w:rFonts w:asciiTheme="minorHAnsi" w:hAnsiTheme="minorHAnsi"/>
          <w:sz w:val="16"/>
          <w:szCs w:val="16"/>
        </w:rPr>
        <w:t xml:space="preserve"> Besteht eine Feststellung, geben Sie bitte ausdrücklich das betreffende Feld und den Betrag an, die das Institut hätte melden müssen.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01313" w:rsidR="00901313" w:rsidRDefault="00901313" w14:paraId="0B3B8B8B"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01313" w:rsidR="00A526B2" w:rsidP="001B0996" w:rsidRDefault="00A526B2" w14:paraId="24504DCB" w14:textId="77777777">
    <w:pPr>
      <w:pStyle w:val="Header"/>
    </w:pPr>
    <w:r w:rsidRPr="00901313">
      <w:rPr>
        <w:noProof/>
      </w:rPr>
      <w:drawing>
        <wp:anchor distT="0" distB="0" distL="114300" distR="114300" simplePos="0" relativeHeight="251666432" behindDoc="0" locked="1" layoutInCell="1" allowOverlap="1" wp14:editId="73465A3A" wp14:anchorId="37C53D63">
          <wp:simplePos x="0" y="0"/>
          <wp:positionH relativeFrom="page">
            <wp:posOffset>540385</wp:posOffset>
          </wp:positionH>
          <wp:positionV relativeFrom="page">
            <wp:posOffset>540385</wp:posOffset>
          </wp:positionV>
          <wp:extent cx="1173600" cy="507600"/>
          <wp:effectExtent l="0" t="0" r="7620" b="6985"/>
          <wp:wrapTight wrapText="bothSides">
            <wp:wrapPolygon edited="0">
              <wp:start x="3857" y="0"/>
              <wp:lineTo x="0" y="811"/>
              <wp:lineTo x="0" y="12165"/>
              <wp:lineTo x="351" y="18653"/>
              <wp:lineTo x="3506" y="21086"/>
              <wp:lineTo x="5610" y="21086"/>
              <wp:lineTo x="9117" y="21086"/>
              <wp:lineTo x="18584" y="15409"/>
              <wp:lineTo x="21390" y="12165"/>
              <wp:lineTo x="21390" y="4055"/>
              <wp:lineTo x="5260" y="0"/>
              <wp:lineTo x="385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600" cy="507600"/>
                  </a:xfrm>
                  <a:prstGeom prst="rect">
                    <a:avLst/>
                  </a:prstGeom>
                </pic:spPr>
              </pic:pic>
            </a:graphicData>
          </a:graphic>
          <wp14:sizeRelH relativeFrom="margin">
            <wp14:pctWidth>0</wp14:pctWidth>
          </wp14:sizeRelH>
          <wp14:sizeRelV relativeFrom="margin">
            <wp14:pctHeight>0</wp14:pctHeight>
          </wp14:sizeRelV>
        </wp:anchor>
      </w:drawing>
    </w:r>
  </w:p>
  <w:p w:rsidRPr="00901313" w:rsidR="00A526B2" w:rsidP="006608B5" w:rsidRDefault="00A526B2" w14:paraId="74D5EC37" w14:textId="0A27B796">
    <w:pPr>
      <w:pStyle w:val="YELLOWlevel"/>
    </w:pPr>
    <w:r w:rsidRPr="00901313">
      <w:cr/>
    </w:r>
    <w:r w:rsidRPr="00901313">
      <w:br/>
      <w:t>SRB-GELB</w:t>
    </w:r>
  </w:p>
  <w:p w:rsidRPr="00901313" w:rsidR="00A526B2" w:rsidP="004B34EF" w:rsidRDefault="00A526B2" w14:paraId="41F0518F" w14:textId="3B75A667">
    <w:pPr>
      <w:pStyle w:val="Header"/>
      <w:rPr>
        <w:szCs w:val="18"/>
      </w:rPr>
    </w:pPr>
  </w:p>
  <w:p w:rsidRPr="00901313" w:rsidR="00A526B2" w:rsidP="00F87BED" w:rsidRDefault="00A526B2" w14:paraId="4A59D71B" w14:textId="77777777">
    <w:pPr>
      <w:pStyle w:val="Header"/>
      <w:rPr>
        <w:szCs w:val="18"/>
      </w:rPr>
    </w:pPr>
  </w:p>
  <w:p w:rsidRPr="00901313" w:rsidR="00A526B2" w:rsidP="00E05FDA" w:rsidRDefault="00A526B2" w14:paraId="1FE5D4B0" w14:textId="4F1D2BA5">
    <w:pPr>
      <w:pStyle w:val="Header"/>
      <w:jc w:val="right"/>
      <w:rPr>
        <w:szCs w:val="18"/>
      </w:rPr>
    </w:pPr>
  </w:p>
  <w:p w:rsidRPr="00901313" w:rsidR="00A526B2" w:rsidP="00E05FDA" w:rsidRDefault="00A526B2" w14:paraId="2D204344" w14:textId="77777777">
    <w:pPr>
      <w:pStyle w:val="Header"/>
      <w:jc w:val="right"/>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01313" w:rsidR="00A526B2" w:rsidRDefault="00A526B2" w14:paraId="54A6E025" w14:textId="20F1DFF5">
    <w:pPr>
      <w:pStyle w:val="Header"/>
    </w:pPr>
    <w:r w:rsidRPr="00901313">
      <w:rPr>
        <w:noProof/>
      </w:rPr>
      <w:drawing>
        <wp:anchor distT="0" distB="0" distL="114300" distR="114300" simplePos="0" relativeHeight="251664384" behindDoc="0" locked="1" layoutInCell="1" allowOverlap="1" wp14:editId="6D7DDE44" wp14:anchorId="7A297EC9">
          <wp:simplePos x="0" y="0"/>
          <wp:positionH relativeFrom="page">
            <wp:posOffset>540385</wp:posOffset>
          </wp:positionH>
          <wp:positionV relativeFrom="page">
            <wp:posOffset>540385</wp:posOffset>
          </wp:positionV>
          <wp:extent cx="2080800" cy="900000"/>
          <wp:effectExtent l="0" t="0" r="0" b="0"/>
          <wp:wrapTight wrapText="bothSides">
            <wp:wrapPolygon edited="0">
              <wp:start x="4154" y="0"/>
              <wp:lineTo x="2176" y="1372"/>
              <wp:lineTo x="396" y="5030"/>
              <wp:lineTo x="0" y="10061"/>
              <wp:lineTo x="0" y="10975"/>
              <wp:lineTo x="198" y="16463"/>
              <wp:lineTo x="2769" y="21036"/>
              <wp:lineTo x="3758" y="21036"/>
              <wp:lineTo x="5341" y="21036"/>
              <wp:lineTo x="7714" y="21036"/>
              <wp:lineTo x="18198" y="16006"/>
              <wp:lineTo x="18198" y="14634"/>
              <wp:lineTo x="21363" y="11890"/>
              <wp:lineTo x="21363" y="9603"/>
              <wp:lineTo x="18396" y="5945"/>
              <wp:lineTo x="14835" y="4116"/>
              <wp:lineTo x="4945" y="0"/>
              <wp:lineTo x="4154"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F2A513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51A559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46AFD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9146F3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92E575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9EE60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03869D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F144B3"/>
    <w:multiLevelType w:val="hybridMultilevel"/>
    <w:tmpl w:val="B9A6B9AA"/>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040D1DB2"/>
    <w:multiLevelType w:val="hybridMultilevel"/>
    <w:tmpl w:val="CD245D76"/>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04420943"/>
    <w:multiLevelType w:val="hybridMultilevel"/>
    <w:tmpl w:val="F404FD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A46432D"/>
    <w:multiLevelType w:val="hybridMultilevel"/>
    <w:tmpl w:val="CF3225B2"/>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0DF23E43"/>
    <w:multiLevelType w:val="hybridMultilevel"/>
    <w:tmpl w:val="86E68B64"/>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14827A32"/>
    <w:multiLevelType w:val="hybridMultilevel"/>
    <w:tmpl w:val="64D48CA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12DBB"/>
    <w:multiLevelType w:val="hybridMultilevel"/>
    <w:tmpl w:val="1C1E222C"/>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225003F9"/>
    <w:multiLevelType w:val="hybridMultilevel"/>
    <w:tmpl w:val="1092321C"/>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5" w15:restartNumberingAfterBreak="0">
    <w:nsid w:val="28C83B23"/>
    <w:multiLevelType w:val="hybridMultilevel"/>
    <w:tmpl w:val="BF34D54C"/>
    <w:lvl w:ilvl="0" w:tplc="0809001B">
      <w:start w:val="1"/>
      <w:numFmt w:val="lowerRoman"/>
      <w:lvlText w:val="%1."/>
      <w:lvlJc w:val="righ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3D54BE"/>
    <w:multiLevelType w:val="hybridMultilevel"/>
    <w:tmpl w:val="D49AD824"/>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40B9F"/>
    <w:multiLevelType w:val="hybridMultilevel"/>
    <w:tmpl w:val="0FDA61DC"/>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36051769"/>
    <w:multiLevelType w:val="hybridMultilevel"/>
    <w:tmpl w:val="0DF279F6"/>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39E07FE5"/>
    <w:multiLevelType w:val="hybridMultilevel"/>
    <w:tmpl w:val="8EEA4BFA"/>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3CE44262"/>
    <w:multiLevelType w:val="hybridMultilevel"/>
    <w:tmpl w:val="83E421B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93A214D0">
      <w:start w:val="1"/>
      <w:numFmt w:val="decimal"/>
      <w:lvlText w:val="%3."/>
      <w:lvlJc w:val="left"/>
      <w:pPr>
        <w:ind w:left="2160" w:hanging="360"/>
      </w:pPr>
      <w:rPr>
        <w:rFonts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60CE7"/>
    <w:multiLevelType w:val="hybridMultilevel"/>
    <w:tmpl w:val="42D200B4"/>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4B276631"/>
    <w:multiLevelType w:val="hybridMultilevel"/>
    <w:tmpl w:val="7382B736"/>
    <w:lvl w:ilvl="0" w:tplc="097E7936">
      <w:start w:val="1"/>
      <w:numFmt w:val="decimal"/>
      <w:pStyle w:val="NumberingLIST"/>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E014580"/>
    <w:multiLevelType w:val="hybridMultilevel"/>
    <w:tmpl w:val="1C4E38AE"/>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5076066F"/>
    <w:multiLevelType w:val="hybridMultilevel"/>
    <w:tmpl w:val="F15AB85E"/>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530F35C7"/>
    <w:multiLevelType w:val="hybridMultilevel"/>
    <w:tmpl w:val="BE5ED25E"/>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6" w15:restartNumberingAfterBreak="0">
    <w:nsid w:val="596F3CC1"/>
    <w:multiLevelType w:val="hybridMultilevel"/>
    <w:tmpl w:val="03A4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3466C2"/>
    <w:multiLevelType w:val="hybridMultilevel"/>
    <w:tmpl w:val="0774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947FF"/>
    <w:multiLevelType w:val="multilevel"/>
    <w:tmpl w:val="5182605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i w:val="0"/>
        <w:color w:val="005EB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421278"/>
    <w:multiLevelType w:val="hybridMultilevel"/>
    <w:tmpl w:val="8A26550A"/>
    <w:lvl w:ilvl="0" w:tplc="0809001B">
      <w:start w:val="1"/>
      <w:numFmt w:val="lowerRoman"/>
      <w:lvlText w:val="%1."/>
      <w:lvlJc w:val="right"/>
      <w:pPr>
        <w:ind w:left="360" w:hanging="360"/>
      </w:pPr>
      <w:rPr>
        <w:rFonts w:hint="default"/>
      </w:rPr>
    </w:lvl>
    <w:lvl w:ilvl="1" w:tplc="19ECDF18">
      <w:start w:val="1"/>
      <w:numFmt w:val="decimal"/>
      <w:lvlText w:val="3.%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916C2A"/>
    <w:multiLevelType w:val="multilevel"/>
    <w:tmpl w:val="72DCE5F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Verdana" w:eastAsia="Times New Roman" w:hAnsi="Verdana" w:cs="Times New Roman"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6FFB41B6"/>
    <w:multiLevelType w:val="hybridMultilevel"/>
    <w:tmpl w:val="68AAD392"/>
    <w:lvl w:ilvl="0" w:tplc="9F725964">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2" w15:restartNumberingAfterBreak="0">
    <w:nsid w:val="707C1C42"/>
    <w:multiLevelType w:val="hybridMultilevel"/>
    <w:tmpl w:val="98D47E10"/>
    <w:lvl w:ilvl="0" w:tplc="0809001B">
      <w:start w:val="1"/>
      <w:numFmt w:val="lowerRoman"/>
      <w:lvlText w:val="%1."/>
      <w:lvlJc w:val="right"/>
      <w:pPr>
        <w:ind w:left="720" w:hanging="360"/>
      </w:pPr>
      <w:rPr>
        <w:rFonts w:hint="default"/>
        <w:b w:val="0"/>
        <w:sz w:val="20"/>
        <w:szCs w:val="20"/>
      </w:rPr>
    </w:lvl>
    <w:lvl w:ilvl="1" w:tplc="5EB84204">
      <w:start w:val="1"/>
      <w:numFmt w:val="decimal"/>
      <w:lvlText w:val="(1.%2)"/>
      <w:lvlJc w:val="left"/>
      <w:pPr>
        <w:ind w:left="1440" w:hanging="360"/>
      </w:pPr>
      <w:rPr>
        <w:rFonts w:ascii="Verdana" w:eastAsia="Times New Roman" w:hAnsi="Verdana" w:cs="Times New Roman" w:hint="default"/>
        <w:b w:val="0"/>
        <w:sz w:val="20"/>
        <w:szCs w:val="20"/>
      </w:rPr>
    </w:lvl>
    <w:lvl w:ilvl="2" w:tplc="2BB8BD86">
      <w:start w:val="1"/>
      <w:numFmt w:val="lowerRoman"/>
      <w:lvlText w:val="%3."/>
      <w:lvlJc w:val="right"/>
      <w:pPr>
        <w:ind w:left="2160" w:hanging="360"/>
      </w:pPr>
      <w:rPr>
        <w:rFonts w:hint="default"/>
        <w:b w:val="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61D42"/>
    <w:multiLevelType w:val="hybridMultilevel"/>
    <w:tmpl w:val="A176D46E"/>
    <w:lvl w:ilvl="0" w:tplc="0FD2375A">
      <w:numFmt w:val="bullet"/>
      <w:pStyle w:val="ListParagraph"/>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DD191C"/>
    <w:multiLevelType w:val="multilevel"/>
    <w:tmpl w:val="162290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22"/>
  </w:num>
  <w:num w:numId="3">
    <w:abstractNumId w:val="26"/>
  </w:num>
  <w:num w:numId="4">
    <w:abstractNumId w:val="27"/>
  </w:num>
  <w:num w:numId="5">
    <w:abstractNumId w:val="28"/>
  </w:num>
  <w:num w:numId="6">
    <w:abstractNumId w:val="12"/>
  </w:num>
  <w:num w:numId="7">
    <w:abstractNumId w:val="20"/>
  </w:num>
  <w:num w:numId="8">
    <w:abstractNumId w:val="30"/>
  </w:num>
  <w:num w:numId="9">
    <w:abstractNumId w:val="32"/>
  </w:num>
  <w:num w:numId="10">
    <w:abstractNumId w:val="16"/>
  </w:num>
  <w:num w:numId="11">
    <w:abstractNumId w:val="15"/>
  </w:num>
  <w:num w:numId="12">
    <w:abstractNumId w:val="29"/>
  </w:num>
  <w:num w:numId="13">
    <w:abstractNumId w:val="9"/>
  </w:num>
  <w:num w:numId="14">
    <w:abstractNumId w:val="34"/>
  </w:num>
  <w:num w:numId="15">
    <w:abstractNumId w:val="18"/>
  </w:num>
  <w:num w:numId="16">
    <w:abstractNumId w:val="11"/>
  </w:num>
  <w:num w:numId="17">
    <w:abstractNumId w:val="7"/>
  </w:num>
  <w:num w:numId="18">
    <w:abstractNumId w:val="24"/>
  </w:num>
  <w:num w:numId="19">
    <w:abstractNumId w:val="19"/>
  </w:num>
  <w:num w:numId="20">
    <w:abstractNumId w:val="31"/>
  </w:num>
  <w:num w:numId="21">
    <w:abstractNumId w:val="17"/>
  </w:num>
  <w:num w:numId="22">
    <w:abstractNumId w:val="21"/>
  </w:num>
  <w:num w:numId="23">
    <w:abstractNumId w:val="10"/>
  </w:num>
  <w:num w:numId="24">
    <w:abstractNumId w:val="13"/>
  </w:num>
  <w:num w:numId="25">
    <w:abstractNumId w:val="23"/>
  </w:num>
  <w:num w:numId="26">
    <w:abstractNumId w:val="25"/>
  </w:num>
  <w:num w:numId="27">
    <w:abstractNumId w:val="8"/>
  </w:num>
  <w:num w:numId="28">
    <w:abstractNumId w:val="14"/>
  </w:num>
  <w:num w:numId="29">
    <w:abstractNumId w:val="5"/>
  </w:num>
  <w:num w:numId="30">
    <w:abstractNumId w:val="0"/>
  </w:num>
  <w:num w:numId="31">
    <w:abstractNumId w:val="6"/>
  </w:num>
  <w:num w:numId="32">
    <w:abstractNumId w:val="4"/>
  </w:num>
  <w:num w:numId="33">
    <w:abstractNumId w:val="3"/>
  </w:num>
  <w:num w:numId="34">
    <w:abstractNumId w:val="2"/>
  </w:num>
  <w:num w:numId="35">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11878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8E"/>
    <w:rsid w:val="00033932"/>
    <w:rsid w:val="000509BE"/>
    <w:rsid w:val="00057A77"/>
    <w:rsid w:val="00066B5C"/>
    <w:rsid w:val="000723E4"/>
    <w:rsid w:val="00073118"/>
    <w:rsid w:val="00092E67"/>
    <w:rsid w:val="000A2ADD"/>
    <w:rsid w:val="000B0CA0"/>
    <w:rsid w:val="000B4322"/>
    <w:rsid w:val="000C0F17"/>
    <w:rsid w:val="000C48BA"/>
    <w:rsid w:val="000F14BF"/>
    <w:rsid w:val="00104672"/>
    <w:rsid w:val="0011259A"/>
    <w:rsid w:val="00122A15"/>
    <w:rsid w:val="00142CAB"/>
    <w:rsid w:val="00147AA2"/>
    <w:rsid w:val="0015547C"/>
    <w:rsid w:val="001754A7"/>
    <w:rsid w:val="00194B08"/>
    <w:rsid w:val="001A233D"/>
    <w:rsid w:val="001B0996"/>
    <w:rsid w:val="001B292D"/>
    <w:rsid w:val="001B622F"/>
    <w:rsid w:val="001C6C6A"/>
    <w:rsid w:val="001C79F7"/>
    <w:rsid w:val="001E26A9"/>
    <w:rsid w:val="001F0B04"/>
    <w:rsid w:val="001F4F09"/>
    <w:rsid w:val="0020373A"/>
    <w:rsid w:val="00205E0A"/>
    <w:rsid w:val="00205F80"/>
    <w:rsid w:val="002208D8"/>
    <w:rsid w:val="0023029D"/>
    <w:rsid w:val="00235FA2"/>
    <w:rsid w:val="0024030F"/>
    <w:rsid w:val="0024425F"/>
    <w:rsid w:val="002472B9"/>
    <w:rsid w:val="00253F6D"/>
    <w:rsid w:val="0026336B"/>
    <w:rsid w:val="00263938"/>
    <w:rsid w:val="0026394E"/>
    <w:rsid w:val="0027713C"/>
    <w:rsid w:val="00294A93"/>
    <w:rsid w:val="002B0BF1"/>
    <w:rsid w:val="002B7926"/>
    <w:rsid w:val="002F060A"/>
    <w:rsid w:val="00321A93"/>
    <w:rsid w:val="00363CAD"/>
    <w:rsid w:val="003657A2"/>
    <w:rsid w:val="003745D8"/>
    <w:rsid w:val="0037578B"/>
    <w:rsid w:val="003808E0"/>
    <w:rsid w:val="00385341"/>
    <w:rsid w:val="0039523C"/>
    <w:rsid w:val="003C1568"/>
    <w:rsid w:val="003E4470"/>
    <w:rsid w:val="003F2B5D"/>
    <w:rsid w:val="003F64C8"/>
    <w:rsid w:val="00421916"/>
    <w:rsid w:val="00424D93"/>
    <w:rsid w:val="00427BB6"/>
    <w:rsid w:val="004300AD"/>
    <w:rsid w:val="00431468"/>
    <w:rsid w:val="0043375F"/>
    <w:rsid w:val="00441C60"/>
    <w:rsid w:val="00445F86"/>
    <w:rsid w:val="0044677C"/>
    <w:rsid w:val="004528E0"/>
    <w:rsid w:val="004B34EF"/>
    <w:rsid w:val="004B67D1"/>
    <w:rsid w:val="004D67A0"/>
    <w:rsid w:val="004E3D7D"/>
    <w:rsid w:val="004E5B29"/>
    <w:rsid w:val="004F7E60"/>
    <w:rsid w:val="004F7F73"/>
    <w:rsid w:val="00502309"/>
    <w:rsid w:val="00502B3A"/>
    <w:rsid w:val="00507D84"/>
    <w:rsid w:val="00564EBC"/>
    <w:rsid w:val="00566750"/>
    <w:rsid w:val="00585DF5"/>
    <w:rsid w:val="005867B0"/>
    <w:rsid w:val="00593418"/>
    <w:rsid w:val="005A4903"/>
    <w:rsid w:val="005A51D5"/>
    <w:rsid w:val="005B152E"/>
    <w:rsid w:val="005C780F"/>
    <w:rsid w:val="005E264D"/>
    <w:rsid w:val="005F4766"/>
    <w:rsid w:val="005F61D9"/>
    <w:rsid w:val="00621CA3"/>
    <w:rsid w:val="00622C96"/>
    <w:rsid w:val="00625451"/>
    <w:rsid w:val="00645C76"/>
    <w:rsid w:val="006608B5"/>
    <w:rsid w:val="00677C32"/>
    <w:rsid w:val="00680E7D"/>
    <w:rsid w:val="006C042E"/>
    <w:rsid w:val="006C41B1"/>
    <w:rsid w:val="006C5102"/>
    <w:rsid w:val="0070289F"/>
    <w:rsid w:val="00702BDD"/>
    <w:rsid w:val="00711689"/>
    <w:rsid w:val="007163E7"/>
    <w:rsid w:val="007477F3"/>
    <w:rsid w:val="007568D0"/>
    <w:rsid w:val="00762648"/>
    <w:rsid w:val="0077755D"/>
    <w:rsid w:val="00783D66"/>
    <w:rsid w:val="00784193"/>
    <w:rsid w:val="007A0E22"/>
    <w:rsid w:val="007C44C7"/>
    <w:rsid w:val="007C683B"/>
    <w:rsid w:val="00801F2B"/>
    <w:rsid w:val="0081151A"/>
    <w:rsid w:val="00811968"/>
    <w:rsid w:val="00817C17"/>
    <w:rsid w:val="00832234"/>
    <w:rsid w:val="00854078"/>
    <w:rsid w:val="008923C2"/>
    <w:rsid w:val="008A1AA4"/>
    <w:rsid w:val="008A3BE6"/>
    <w:rsid w:val="008C3574"/>
    <w:rsid w:val="008D5BA8"/>
    <w:rsid w:val="008E3A30"/>
    <w:rsid w:val="008F4A0E"/>
    <w:rsid w:val="008F4BCC"/>
    <w:rsid w:val="0090114E"/>
    <w:rsid w:val="00901313"/>
    <w:rsid w:val="009100E7"/>
    <w:rsid w:val="00922E1E"/>
    <w:rsid w:val="00925538"/>
    <w:rsid w:val="00936368"/>
    <w:rsid w:val="00947D17"/>
    <w:rsid w:val="0095525F"/>
    <w:rsid w:val="00956C04"/>
    <w:rsid w:val="0097415D"/>
    <w:rsid w:val="00990C04"/>
    <w:rsid w:val="00995B6D"/>
    <w:rsid w:val="009A50E8"/>
    <w:rsid w:val="009A6EE9"/>
    <w:rsid w:val="009B1FD7"/>
    <w:rsid w:val="009D4618"/>
    <w:rsid w:val="009D6C25"/>
    <w:rsid w:val="009E130A"/>
    <w:rsid w:val="009E399A"/>
    <w:rsid w:val="009E7F87"/>
    <w:rsid w:val="009F4366"/>
    <w:rsid w:val="00A17996"/>
    <w:rsid w:val="00A25157"/>
    <w:rsid w:val="00A33744"/>
    <w:rsid w:val="00A337F9"/>
    <w:rsid w:val="00A41FC1"/>
    <w:rsid w:val="00A44AE6"/>
    <w:rsid w:val="00A52602"/>
    <w:rsid w:val="00A526B2"/>
    <w:rsid w:val="00A6668E"/>
    <w:rsid w:val="00A67D3C"/>
    <w:rsid w:val="00A86910"/>
    <w:rsid w:val="00A97661"/>
    <w:rsid w:val="00AA5566"/>
    <w:rsid w:val="00AA7711"/>
    <w:rsid w:val="00AB63B7"/>
    <w:rsid w:val="00AC1243"/>
    <w:rsid w:val="00AD04EC"/>
    <w:rsid w:val="00AD0726"/>
    <w:rsid w:val="00AD4FA1"/>
    <w:rsid w:val="00AE0A28"/>
    <w:rsid w:val="00AF7C41"/>
    <w:rsid w:val="00B27DF4"/>
    <w:rsid w:val="00B37B17"/>
    <w:rsid w:val="00B77BBD"/>
    <w:rsid w:val="00B85609"/>
    <w:rsid w:val="00B97EC1"/>
    <w:rsid w:val="00BB3A96"/>
    <w:rsid w:val="00BC4277"/>
    <w:rsid w:val="00BD53A5"/>
    <w:rsid w:val="00BD5998"/>
    <w:rsid w:val="00BE516D"/>
    <w:rsid w:val="00BF1F10"/>
    <w:rsid w:val="00C1074C"/>
    <w:rsid w:val="00C14120"/>
    <w:rsid w:val="00C62191"/>
    <w:rsid w:val="00C75D0F"/>
    <w:rsid w:val="00C86AB6"/>
    <w:rsid w:val="00C878C2"/>
    <w:rsid w:val="00CA5814"/>
    <w:rsid w:val="00CB0931"/>
    <w:rsid w:val="00CD25E6"/>
    <w:rsid w:val="00CD2F9C"/>
    <w:rsid w:val="00CD372E"/>
    <w:rsid w:val="00CD6AD8"/>
    <w:rsid w:val="00CE11BC"/>
    <w:rsid w:val="00CE26C7"/>
    <w:rsid w:val="00D0461D"/>
    <w:rsid w:val="00D349C5"/>
    <w:rsid w:val="00D47548"/>
    <w:rsid w:val="00D5552E"/>
    <w:rsid w:val="00D612BF"/>
    <w:rsid w:val="00D67D0F"/>
    <w:rsid w:val="00D80FF4"/>
    <w:rsid w:val="00D96200"/>
    <w:rsid w:val="00DB4CA7"/>
    <w:rsid w:val="00DE3AE3"/>
    <w:rsid w:val="00E05FDA"/>
    <w:rsid w:val="00E23E82"/>
    <w:rsid w:val="00E2567B"/>
    <w:rsid w:val="00E36825"/>
    <w:rsid w:val="00E50C37"/>
    <w:rsid w:val="00E55C11"/>
    <w:rsid w:val="00E82910"/>
    <w:rsid w:val="00EB5C93"/>
    <w:rsid w:val="00ED0EA4"/>
    <w:rsid w:val="00ED68EC"/>
    <w:rsid w:val="00ED69EA"/>
    <w:rsid w:val="00EE192B"/>
    <w:rsid w:val="00EF0BC8"/>
    <w:rsid w:val="00F130DA"/>
    <w:rsid w:val="00F1399F"/>
    <w:rsid w:val="00F20815"/>
    <w:rsid w:val="00F6606C"/>
    <w:rsid w:val="00F87BED"/>
    <w:rsid w:val="00F90DAC"/>
    <w:rsid w:val="00FA712B"/>
    <w:rsid w:val="00FD7098"/>
    <w:rsid w:val="00FE6881"/>
  </w:rsids>
  <m:mathPr>
    <m:mathFont m:val="Cambria Math"/>
    <m:brkBin m:val="before"/>
    <m:brkBinSub m:val="--"/>
    <m:smallFrac m:val="0"/>
    <m:dispDef/>
    <m:lMargin m:val="0"/>
    <m:rMargin m:val="0"/>
    <m:defJc m:val="centerGroup"/>
    <m:wrapIndent m:val="1440"/>
    <m:intLim m:val="subSup"/>
    <m:naryLim m:val="undOvr"/>
  </m:mathPr>
  <w:themeFontLang w:val="fr-B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E222345"/>
  <w15:chartTrackingRefBased/>
  <w15:docId w15:val="{A53140AE-FFD1-4061-9572-26FDD3F8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910"/>
    <w:pPr>
      <w:spacing w:after="0" w:line="260" w:lineRule="exact"/>
    </w:pPr>
    <w:rPr>
      <w:sz w:val="18"/>
    </w:rPr>
  </w:style>
  <w:style w:type="paragraph" w:styleId="Heading1">
    <w:name w:val="heading 1"/>
    <w:basedOn w:val="Normal"/>
    <w:next w:val="Normal"/>
    <w:link w:val="Heading1Char"/>
    <w:uiPriority w:val="9"/>
    <w:qFormat/>
    <w:rsid w:val="00947D17"/>
    <w:pPr>
      <w:outlineLvl w:val="0"/>
    </w:pPr>
    <w:rPr>
      <w:b/>
      <w:bCs/>
      <w:color w:val="005EB8"/>
      <w:sz w:val="28"/>
      <w:szCs w:val="48"/>
    </w:rPr>
  </w:style>
  <w:style w:type="paragraph" w:styleId="Heading2">
    <w:name w:val="heading 2"/>
    <w:basedOn w:val="Normal"/>
    <w:next w:val="Normal"/>
    <w:link w:val="Heading2Char"/>
    <w:uiPriority w:val="9"/>
    <w:unhideWhenUsed/>
    <w:qFormat/>
    <w:rsid w:val="00947D17"/>
    <w:pPr>
      <w:spacing w:before="480" w:after="113" w:line="240" w:lineRule="auto"/>
      <w:outlineLvl w:val="1"/>
    </w:pPr>
    <w:rPr>
      <w:bCs/>
      <w:color w:val="005EB8"/>
      <w:sz w:val="20"/>
      <w:szCs w:val="28"/>
    </w:rPr>
  </w:style>
  <w:style w:type="paragraph" w:styleId="Heading3">
    <w:name w:val="heading 3"/>
    <w:basedOn w:val="Normal"/>
    <w:next w:val="Normal"/>
    <w:link w:val="Heading3Char"/>
    <w:uiPriority w:val="9"/>
    <w:unhideWhenUsed/>
    <w:qFormat/>
    <w:rsid w:val="00947D17"/>
    <w:pPr>
      <w:spacing w:before="170" w:after="113" w:line="240" w:lineRule="auto"/>
      <w:outlineLvl w:val="2"/>
    </w:pPr>
    <w:rPr>
      <w:b/>
      <w:bCs/>
      <w:szCs w:val="24"/>
    </w:rPr>
  </w:style>
  <w:style w:type="paragraph" w:styleId="Heading4">
    <w:name w:val="heading 4"/>
    <w:basedOn w:val="Normal"/>
    <w:next w:val="Normal"/>
    <w:link w:val="Heading4Char"/>
    <w:uiPriority w:val="9"/>
    <w:unhideWhenUsed/>
    <w:qFormat/>
    <w:rsid w:val="00947D17"/>
    <w:pPr>
      <w:keepNext/>
      <w:keepLines/>
      <w:spacing w:before="40"/>
      <w:outlineLvl w:val="3"/>
    </w:pPr>
    <w:rPr>
      <w:rFonts w:asciiTheme="majorHAnsi" w:eastAsiaTheme="majorEastAsia" w:hAnsiTheme="majorHAnsi" w:cstheme="majorBidi"/>
      <w:i/>
      <w:iCs/>
      <w:color w:val="2B69BF" w:themeColor="accent1" w:themeShade="BF"/>
    </w:rPr>
  </w:style>
  <w:style w:type="paragraph" w:styleId="Heading5">
    <w:name w:val="heading 5"/>
    <w:basedOn w:val="Normal"/>
    <w:next w:val="Normal"/>
    <w:link w:val="Heading5Char"/>
    <w:uiPriority w:val="9"/>
    <w:unhideWhenUsed/>
    <w:qFormat/>
    <w:rsid w:val="00947D17"/>
    <w:pPr>
      <w:keepNext/>
      <w:keepLines/>
      <w:spacing w:before="40"/>
      <w:outlineLvl w:val="4"/>
    </w:pPr>
    <w:rPr>
      <w:rFonts w:asciiTheme="majorHAnsi" w:eastAsiaTheme="majorEastAsia" w:hAnsiTheme="majorHAnsi" w:cstheme="majorBidi"/>
      <w:color w:val="2B6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Ref">
    <w:name w:val="Date+Ref"/>
    <w:basedOn w:val="Normal"/>
    <w:qFormat/>
    <w:rsid w:val="00AA7711"/>
    <w:pPr>
      <w:jc w:val="right"/>
    </w:pPr>
  </w:style>
  <w:style w:type="paragraph" w:styleId="Header">
    <w:name w:val="header"/>
    <w:basedOn w:val="Normal"/>
    <w:link w:val="HeaderChar"/>
    <w:uiPriority w:val="99"/>
    <w:unhideWhenUsed/>
    <w:rsid w:val="00AA7711"/>
    <w:pPr>
      <w:tabs>
        <w:tab w:val="center" w:pos="4536"/>
        <w:tab w:val="right" w:pos="9072"/>
      </w:tabs>
      <w:spacing w:line="240" w:lineRule="auto"/>
    </w:pPr>
  </w:style>
  <w:style w:type="character" w:customStyle="1" w:styleId="HeaderChar">
    <w:name w:val="Header Char"/>
    <w:basedOn w:val="DefaultParagraphFont"/>
    <w:link w:val="Header"/>
    <w:uiPriority w:val="99"/>
    <w:rsid w:val="00AA7711"/>
    <w:rPr>
      <w:lang w:val="de-DE"/>
    </w:rPr>
  </w:style>
  <w:style w:type="paragraph" w:styleId="Footer">
    <w:name w:val="footer"/>
    <w:basedOn w:val="Normal"/>
    <w:link w:val="FooterChar"/>
    <w:uiPriority w:val="99"/>
    <w:unhideWhenUsed/>
    <w:rsid w:val="00AA7711"/>
    <w:pPr>
      <w:tabs>
        <w:tab w:val="center" w:pos="4536"/>
        <w:tab w:val="right" w:pos="9072"/>
      </w:tabs>
      <w:spacing w:line="240" w:lineRule="auto"/>
    </w:pPr>
  </w:style>
  <w:style w:type="character" w:customStyle="1" w:styleId="FooterChar">
    <w:name w:val="Footer Char"/>
    <w:basedOn w:val="DefaultParagraphFont"/>
    <w:link w:val="Footer"/>
    <w:uiPriority w:val="99"/>
    <w:rsid w:val="00AA7711"/>
    <w:rPr>
      <w:lang w:val="de-DE"/>
    </w:rPr>
  </w:style>
  <w:style w:type="table" w:styleId="TableGrid">
    <w:name w:val="Table Grid"/>
    <w:basedOn w:val="TableNormal"/>
    <w:uiPriority w:val="39"/>
    <w:rsid w:val="00D67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ofdocument">
    <w:name w:val="Type of document"/>
    <w:link w:val="TypeofdocumentChar"/>
    <w:qFormat/>
    <w:rsid w:val="00E2567B"/>
    <w:pPr>
      <w:spacing w:after="0" w:line="240" w:lineRule="auto"/>
      <w:jc w:val="right"/>
    </w:pPr>
    <w:rPr>
      <w:bCs/>
      <w:color w:val="005EB8"/>
      <w:sz w:val="36"/>
      <w:szCs w:val="50"/>
    </w:rPr>
  </w:style>
  <w:style w:type="character" w:customStyle="1" w:styleId="Heading1Char">
    <w:name w:val="Heading 1 Char"/>
    <w:basedOn w:val="DefaultParagraphFont"/>
    <w:link w:val="Heading1"/>
    <w:uiPriority w:val="9"/>
    <w:rsid w:val="00947D17"/>
    <w:rPr>
      <w:b/>
      <w:bCs/>
      <w:color w:val="005EB8"/>
      <w:sz w:val="28"/>
      <w:szCs w:val="48"/>
      <w:lang w:val="de-DE"/>
    </w:rPr>
  </w:style>
  <w:style w:type="paragraph" w:customStyle="1" w:styleId="BasicParagraph">
    <w:name w:val="[Basic Paragraph]"/>
    <w:basedOn w:val="Normal"/>
    <w:uiPriority w:val="99"/>
    <w:rsid w:val="00D80FF4"/>
    <w:pPr>
      <w:autoSpaceDE w:val="0"/>
      <w:autoSpaceDN w:val="0"/>
      <w:adjustRightInd w:val="0"/>
      <w:spacing w:line="288" w:lineRule="auto"/>
      <w:textAlignment w:val="center"/>
    </w:pPr>
    <w:rPr>
      <w:rFonts w:ascii="Arial" w:hAnsi="Arial" w:cs="Arial"/>
      <w:color w:val="000000"/>
      <w:sz w:val="24"/>
      <w:szCs w:val="24"/>
    </w:rPr>
  </w:style>
  <w:style w:type="character" w:customStyle="1" w:styleId="Heading2Char">
    <w:name w:val="Heading 2 Char"/>
    <w:basedOn w:val="DefaultParagraphFont"/>
    <w:link w:val="Heading2"/>
    <w:uiPriority w:val="9"/>
    <w:rsid w:val="00947D17"/>
    <w:rPr>
      <w:bCs/>
      <w:color w:val="005EB8"/>
      <w:sz w:val="20"/>
      <w:szCs w:val="28"/>
      <w:lang w:val="de-DE"/>
    </w:rPr>
  </w:style>
  <w:style w:type="character" w:customStyle="1" w:styleId="Heading3Char">
    <w:name w:val="Heading 3 Char"/>
    <w:basedOn w:val="DefaultParagraphFont"/>
    <w:link w:val="Heading3"/>
    <w:uiPriority w:val="9"/>
    <w:rsid w:val="00947D17"/>
    <w:rPr>
      <w:b/>
      <w:bCs/>
      <w:sz w:val="18"/>
      <w:szCs w:val="24"/>
      <w:lang w:val="de-DE"/>
    </w:rPr>
  </w:style>
  <w:style w:type="paragraph" w:styleId="ListParagraph">
    <w:name w:val="List Paragraph"/>
    <w:basedOn w:val="Normal"/>
    <w:link w:val="ListParagraphChar"/>
    <w:uiPriority w:val="34"/>
    <w:qFormat/>
    <w:rsid w:val="007568D0"/>
    <w:pPr>
      <w:numPr>
        <w:numId w:val="1"/>
      </w:numPr>
      <w:spacing w:line="240" w:lineRule="auto"/>
      <w:contextualSpacing/>
    </w:pPr>
  </w:style>
  <w:style w:type="character" w:styleId="Hyperlink">
    <w:name w:val="Hyperlink"/>
    <w:basedOn w:val="DefaultParagraphFont"/>
    <w:uiPriority w:val="99"/>
    <w:unhideWhenUsed/>
    <w:rsid w:val="007568D0"/>
    <w:rPr>
      <w:color w:val="5E93DB" w:themeColor="hyperlink"/>
      <w:u w:val="single"/>
    </w:rPr>
  </w:style>
  <w:style w:type="character" w:customStyle="1" w:styleId="UnresolvedMention1">
    <w:name w:val="Unresolved Mention1"/>
    <w:basedOn w:val="DefaultParagraphFont"/>
    <w:uiPriority w:val="99"/>
    <w:semiHidden/>
    <w:unhideWhenUsed/>
    <w:rsid w:val="007568D0"/>
    <w:rPr>
      <w:color w:val="605E5C"/>
      <w:shd w:val="clear" w:color="auto" w:fill="E1DFDD"/>
    </w:rPr>
  </w:style>
  <w:style w:type="table" w:customStyle="1" w:styleId="TableGrid1">
    <w:name w:val="Table Grid1"/>
    <w:basedOn w:val="TableNormal"/>
    <w:next w:val="TableGrid"/>
    <w:uiPriority w:val="39"/>
    <w:rsid w:val="009B1FD7"/>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2309"/>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2309"/>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A30"/>
    <w:rPr>
      <w:color w:val="808080"/>
    </w:rPr>
  </w:style>
  <w:style w:type="paragraph" w:customStyle="1" w:styleId="NumberingLIST">
    <w:name w:val="Numbering LIST"/>
    <w:basedOn w:val="ListParagraph"/>
    <w:link w:val="NumberingLISTChar"/>
    <w:qFormat/>
    <w:rsid w:val="00A25157"/>
    <w:pPr>
      <w:numPr>
        <w:numId w:val="2"/>
      </w:numPr>
    </w:pPr>
  </w:style>
  <w:style w:type="paragraph" w:styleId="EndnoteText">
    <w:name w:val="endnote text"/>
    <w:basedOn w:val="Normal"/>
    <w:link w:val="EndnoteTextChar"/>
    <w:uiPriority w:val="99"/>
    <w:semiHidden/>
    <w:unhideWhenUsed/>
    <w:rsid w:val="0044677C"/>
    <w:pPr>
      <w:spacing w:line="240" w:lineRule="auto"/>
    </w:pPr>
    <w:rPr>
      <w:sz w:val="20"/>
      <w:szCs w:val="20"/>
    </w:rPr>
  </w:style>
  <w:style w:type="character" w:customStyle="1" w:styleId="ListParagraphChar">
    <w:name w:val="List Paragraph Char"/>
    <w:basedOn w:val="DefaultParagraphFont"/>
    <w:link w:val="ListParagraph"/>
    <w:uiPriority w:val="34"/>
    <w:rsid w:val="00A25157"/>
    <w:rPr>
      <w:sz w:val="18"/>
      <w:lang w:val="de-DE"/>
    </w:rPr>
  </w:style>
  <w:style w:type="character" w:customStyle="1" w:styleId="NumberingLISTChar">
    <w:name w:val="Numbering LIST Char"/>
    <w:basedOn w:val="ListParagraphChar"/>
    <w:link w:val="NumberingLIST"/>
    <w:rsid w:val="00A25157"/>
    <w:rPr>
      <w:sz w:val="18"/>
      <w:lang w:val="de-DE"/>
    </w:rPr>
  </w:style>
  <w:style w:type="character" w:customStyle="1" w:styleId="EndnoteTextChar">
    <w:name w:val="Endnote Text Char"/>
    <w:basedOn w:val="DefaultParagraphFont"/>
    <w:link w:val="EndnoteText"/>
    <w:uiPriority w:val="99"/>
    <w:semiHidden/>
    <w:rsid w:val="0044677C"/>
    <w:rPr>
      <w:sz w:val="20"/>
      <w:szCs w:val="20"/>
      <w:lang w:val="de-DE"/>
    </w:rPr>
  </w:style>
  <w:style w:type="character" w:styleId="EndnoteReference">
    <w:name w:val="endnote reference"/>
    <w:basedOn w:val="DefaultParagraphFont"/>
    <w:uiPriority w:val="99"/>
    <w:semiHidden/>
    <w:unhideWhenUsed/>
    <w:rsid w:val="0044677C"/>
    <w:rPr>
      <w:vertAlign w:val="superscript"/>
    </w:rPr>
  </w:style>
  <w:style w:type="paragraph" w:styleId="FootnoteText">
    <w:name w:val="footnote text"/>
    <w:basedOn w:val="Normal"/>
    <w:link w:val="FootnoteTextChar"/>
    <w:uiPriority w:val="99"/>
    <w:unhideWhenUsed/>
    <w:qFormat/>
    <w:rsid w:val="00E82910"/>
    <w:pPr>
      <w:spacing w:after="100" w:line="240" w:lineRule="auto"/>
    </w:pPr>
    <w:rPr>
      <w:color w:val="000000" w:themeColor="text1"/>
      <w:sz w:val="16"/>
      <w:szCs w:val="16"/>
    </w:rPr>
  </w:style>
  <w:style w:type="character" w:customStyle="1" w:styleId="FootnoteTextChar">
    <w:name w:val="Footnote Text Char"/>
    <w:basedOn w:val="DefaultParagraphFont"/>
    <w:link w:val="FootnoteText"/>
    <w:uiPriority w:val="99"/>
    <w:rsid w:val="00E82910"/>
    <w:rPr>
      <w:color w:val="000000" w:themeColor="text1"/>
      <w:sz w:val="16"/>
      <w:szCs w:val="16"/>
      <w:lang w:val="de-DE"/>
    </w:rPr>
  </w:style>
  <w:style w:type="character" w:styleId="FootnoteReference">
    <w:name w:val="footnote reference"/>
    <w:aliases w:val="Footnote"/>
    <w:basedOn w:val="DefaultParagraphFont"/>
    <w:uiPriority w:val="99"/>
    <w:unhideWhenUsed/>
    <w:qFormat/>
    <w:rsid w:val="00E82910"/>
    <w:rPr>
      <w:b/>
      <w:bCs/>
      <w:color w:val="005EB8" w:themeColor="text2"/>
      <w:vertAlign w:val="superscript"/>
    </w:rPr>
  </w:style>
  <w:style w:type="character" w:customStyle="1" w:styleId="Heading4Char">
    <w:name w:val="Heading 4 Char"/>
    <w:basedOn w:val="DefaultParagraphFont"/>
    <w:link w:val="Heading4"/>
    <w:uiPriority w:val="9"/>
    <w:rsid w:val="00947D17"/>
    <w:rPr>
      <w:rFonts w:asciiTheme="majorHAnsi" w:eastAsiaTheme="majorEastAsia" w:hAnsiTheme="majorHAnsi" w:cstheme="majorBidi"/>
      <w:i/>
      <w:iCs/>
      <w:color w:val="2B69BF" w:themeColor="accent1" w:themeShade="BF"/>
      <w:sz w:val="18"/>
      <w:lang w:val="de-DE"/>
    </w:rPr>
  </w:style>
  <w:style w:type="character" w:customStyle="1" w:styleId="Heading5Char">
    <w:name w:val="Heading 5 Char"/>
    <w:basedOn w:val="DefaultParagraphFont"/>
    <w:link w:val="Heading5"/>
    <w:uiPriority w:val="9"/>
    <w:rsid w:val="00947D17"/>
    <w:rPr>
      <w:rFonts w:asciiTheme="majorHAnsi" w:eastAsiaTheme="majorEastAsia" w:hAnsiTheme="majorHAnsi" w:cstheme="majorBidi"/>
      <w:color w:val="2B69BF" w:themeColor="accent1" w:themeShade="BF"/>
      <w:sz w:val="18"/>
      <w:lang w:val="de-DE"/>
    </w:rPr>
  </w:style>
  <w:style w:type="paragraph" w:customStyle="1" w:styleId="ORANGElevel">
    <w:name w:val="ORANGE level"/>
    <w:basedOn w:val="Typeofdocument"/>
    <w:link w:val="ORANGElevelChar"/>
    <w:qFormat/>
    <w:rsid w:val="00AC1243"/>
    <w:rPr>
      <w:b/>
      <w:bCs w:val="0"/>
      <w:color w:val="F98C23"/>
      <w:sz w:val="24"/>
      <w:szCs w:val="24"/>
    </w:rPr>
  </w:style>
  <w:style w:type="paragraph" w:customStyle="1" w:styleId="REDlevel">
    <w:name w:val="RED level"/>
    <w:basedOn w:val="Typeofdocument"/>
    <w:qFormat/>
    <w:rsid w:val="00AC1243"/>
    <w:rPr>
      <w:b/>
      <w:bCs w:val="0"/>
      <w:color w:val="DF2935"/>
      <w:sz w:val="24"/>
      <w:szCs w:val="24"/>
    </w:rPr>
  </w:style>
  <w:style w:type="character" w:customStyle="1" w:styleId="TypeofdocumentChar">
    <w:name w:val="Type of document Char"/>
    <w:basedOn w:val="DefaultParagraphFont"/>
    <w:link w:val="Typeofdocument"/>
    <w:rsid w:val="00AC1243"/>
    <w:rPr>
      <w:bCs/>
      <w:color w:val="005EB8"/>
      <w:sz w:val="36"/>
      <w:szCs w:val="50"/>
      <w:lang w:val="de-DE"/>
    </w:rPr>
  </w:style>
  <w:style w:type="character" w:customStyle="1" w:styleId="ORANGElevelChar">
    <w:name w:val="ORANGE level Char"/>
    <w:basedOn w:val="TypeofdocumentChar"/>
    <w:link w:val="ORANGElevel"/>
    <w:rsid w:val="00AC1243"/>
    <w:rPr>
      <w:b/>
      <w:bCs w:val="0"/>
      <w:color w:val="F98C23"/>
      <w:sz w:val="24"/>
      <w:szCs w:val="24"/>
      <w:lang w:val="de-DE"/>
    </w:rPr>
  </w:style>
  <w:style w:type="paragraph" w:customStyle="1" w:styleId="YELLOWlevel">
    <w:name w:val="YELLOW level"/>
    <w:basedOn w:val="REDlevel"/>
    <w:qFormat/>
    <w:rsid w:val="00AC1243"/>
    <w:rPr>
      <w:color w:val="FFCD00" w:themeColor="accent2"/>
    </w:rPr>
  </w:style>
  <w:style w:type="paragraph" w:customStyle="1" w:styleId="BLUElevel">
    <w:name w:val="BLUE level"/>
    <w:basedOn w:val="YELLOWlevel"/>
    <w:qFormat/>
    <w:rsid w:val="00AC1243"/>
    <w:rPr>
      <w:color w:val="5E93DB" w:themeColor="accent1"/>
    </w:rPr>
  </w:style>
  <w:style w:type="paragraph" w:customStyle="1" w:styleId="GREENlevel">
    <w:name w:val="GREEN level"/>
    <w:basedOn w:val="BLUElevel"/>
    <w:qFormat/>
    <w:rsid w:val="00AC1243"/>
    <w:rPr>
      <w:color w:val="218380"/>
    </w:rPr>
  </w:style>
  <w:style w:type="paragraph" w:customStyle="1" w:styleId="PERSONALlevel">
    <w:name w:val="PERSONAL level"/>
    <w:basedOn w:val="GREENlevel"/>
    <w:qFormat/>
    <w:rsid w:val="00593418"/>
    <w:rPr>
      <w:bCs/>
      <w:color w:val="000000" w:themeColor="text1"/>
    </w:rPr>
  </w:style>
  <w:style w:type="paragraph" w:styleId="BodyText">
    <w:name w:val="Body Text"/>
    <w:aliases w:val="Text"/>
    <w:basedOn w:val="Normal"/>
    <w:link w:val="BodyTextChar"/>
    <w:rsid w:val="00445F86"/>
    <w:pPr>
      <w:widowControl w:val="0"/>
      <w:spacing w:after="240" w:line="240" w:lineRule="auto"/>
    </w:pPr>
    <w:rPr>
      <w:rFonts w:ascii="Verdana" w:eastAsia="Times New Roman" w:hAnsi="Verdana" w:cs="Times New Roman"/>
      <w:snapToGrid w:val="0"/>
      <w:sz w:val="20"/>
      <w:szCs w:val="20"/>
      <w:lang w:eastAsia="fi-FI"/>
    </w:rPr>
  </w:style>
  <w:style w:type="character" w:customStyle="1" w:styleId="BodyTextChar">
    <w:name w:val="Body Text Char"/>
    <w:aliases w:val="Text Char"/>
    <w:basedOn w:val="DefaultParagraphFont"/>
    <w:link w:val="BodyText"/>
    <w:rsid w:val="00445F86"/>
    <w:rPr>
      <w:rFonts w:ascii="Verdana" w:eastAsia="Times New Roman" w:hAnsi="Verdana" w:cs="Times New Roman"/>
      <w:snapToGrid w:val="0"/>
      <w:sz w:val="20"/>
      <w:szCs w:val="20"/>
      <w:lang w:val="de-DE" w:eastAsia="fi-FI"/>
    </w:rPr>
  </w:style>
  <w:style w:type="character" w:styleId="CommentReference">
    <w:name w:val="annotation reference"/>
    <w:uiPriority w:val="99"/>
    <w:semiHidden/>
    <w:unhideWhenUsed/>
    <w:rsid w:val="00445F86"/>
    <w:rPr>
      <w:sz w:val="16"/>
      <w:szCs w:val="16"/>
    </w:rPr>
  </w:style>
  <w:style w:type="paragraph" w:styleId="CommentText">
    <w:name w:val="annotation text"/>
    <w:basedOn w:val="Normal"/>
    <w:link w:val="CommentTextChar"/>
    <w:uiPriority w:val="99"/>
    <w:semiHidden/>
    <w:unhideWhenUsed/>
    <w:rsid w:val="00445F86"/>
    <w:pPr>
      <w:spacing w:line="240" w:lineRule="auto"/>
    </w:pPr>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445F86"/>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445F8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45F86"/>
    <w:rPr>
      <w:rFonts w:ascii="Segoe UI" w:hAnsi="Segoe UI" w:cs="Segoe UI"/>
      <w:sz w:val="18"/>
      <w:szCs w:val="18"/>
      <w:lang w:val="de-DE"/>
    </w:rPr>
  </w:style>
  <w:style w:type="paragraph" w:styleId="CommentSubject">
    <w:name w:val="annotation subject"/>
    <w:basedOn w:val="CommentText"/>
    <w:next w:val="CommentText"/>
    <w:link w:val="CommentSubjectChar"/>
    <w:uiPriority w:val="99"/>
    <w:semiHidden/>
    <w:unhideWhenUsed/>
    <w:rsid w:val="00507D8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7D84"/>
    <w:rPr>
      <w:rFonts w:ascii="Cambria" w:eastAsia="MS Mincho" w:hAnsi="Cambria" w:cs="Times New Roman"/>
      <w:b/>
      <w:bCs/>
      <w:sz w:val="20"/>
      <w:szCs w:val="20"/>
      <w:lang w:val="de-DE"/>
    </w:rPr>
  </w:style>
  <w:style w:type="paragraph" w:styleId="Revision">
    <w:name w:val="Revision"/>
    <w:hidden/>
    <w:uiPriority w:val="99"/>
    <w:semiHidden/>
    <w:rsid w:val="00C878C2"/>
    <w:pPr>
      <w:spacing w:after="0" w:line="240" w:lineRule="auto"/>
    </w:pPr>
    <w:rPr>
      <w:sz w:val="18"/>
    </w:rPr>
  </w:style>
  <w:style w:type="character" w:customStyle="1" w:styleId="DnEx1">
    <w:name w:val="DnEx1"/>
    <w:basedOn w:val="DefaultParagraphFont"/>
    <w:uiPriority w:val="1"/>
    <w:qFormat/>
    <w:rsid w:val="008A1AA4"/>
    <w:rPr>
      <w:rFonts w:asciiTheme="minorHAnsi" w:hAnsiTheme="minorHAnsi"/>
      <w:noProof/>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3767">
      <w:bodyDiv w:val="1"/>
      <w:marLeft w:val="0"/>
      <w:marRight w:val="0"/>
      <w:marTop w:val="0"/>
      <w:marBottom w:val="0"/>
      <w:divBdr>
        <w:top w:val="none" w:sz="0" w:space="0" w:color="auto"/>
        <w:left w:val="none" w:sz="0" w:space="0" w:color="auto"/>
        <w:bottom w:val="none" w:sz="0" w:space="0" w:color="auto"/>
        <w:right w:val="none" w:sz="0" w:space="0" w:color="auto"/>
      </w:divBdr>
      <w:divsChild>
        <w:div w:id="1059861818">
          <w:marLeft w:val="0"/>
          <w:marRight w:val="0"/>
          <w:marTop w:val="0"/>
          <w:marBottom w:val="0"/>
          <w:divBdr>
            <w:top w:val="none" w:sz="0" w:space="0" w:color="auto"/>
            <w:left w:val="none" w:sz="0" w:space="0" w:color="auto"/>
            <w:bottom w:val="none" w:sz="0" w:space="0" w:color="auto"/>
            <w:right w:val="none" w:sz="0" w:space="0" w:color="auto"/>
          </w:divBdr>
          <w:divsChild>
            <w:div w:id="234363714">
              <w:marLeft w:val="-225"/>
              <w:marRight w:val="-225"/>
              <w:marTop w:val="0"/>
              <w:marBottom w:val="0"/>
              <w:divBdr>
                <w:top w:val="none" w:sz="0" w:space="0" w:color="auto"/>
                <w:left w:val="none" w:sz="0" w:space="0" w:color="auto"/>
                <w:bottom w:val="none" w:sz="0" w:space="0" w:color="auto"/>
                <w:right w:val="none" w:sz="0" w:space="0" w:color="auto"/>
              </w:divBdr>
              <w:divsChild>
                <w:div w:id="1294360403">
                  <w:marLeft w:val="0"/>
                  <w:marRight w:val="0"/>
                  <w:marTop w:val="0"/>
                  <w:marBottom w:val="0"/>
                  <w:divBdr>
                    <w:top w:val="none" w:sz="0" w:space="0" w:color="auto"/>
                    <w:left w:val="none" w:sz="0" w:space="0" w:color="auto"/>
                    <w:bottom w:val="none" w:sz="0" w:space="0" w:color="auto"/>
                    <w:right w:val="none" w:sz="0" w:space="0" w:color="auto"/>
                  </w:divBdr>
                  <w:divsChild>
                    <w:div w:id="415245423">
                      <w:marLeft w:val="0"/>
                      <w:marRight w:val="0"/>
                      <w:marTop w:val="0"/>
                      <w:marBottom w:val="0"/>
                      <w:divBdr>
                        <w:top w:val="none" w:sz="0" w:space="0" w:color="auto"/>
                        <w:left w:val="none" w:sz="0" w:space="0" w:color="auto"/>
                        <w:bottom w:val="none" w:sz="0" w:space="0" w:color="auto"/>
                        <w:right w:val="none" w:sz="0" w:space="0" w:color="auto"/>
                      </w:divBdr>
                      <w:divsChild>
                        <w:div w:id="2052457519">
                          <w:marLeft w:val="0"/>
                          <w:marRight w:val="0"/>
                          <w:marTop w:val="0"/>
                          <w:marBottom w:val="0"/>
                          <w:divBdr>
                            <w:top w:val="none" w:sz="0" w:space="0" w:color="auto"/>
                            <w:left w:val="none" w:sz="0" w:space="0" w:color="auto"/>
                            <w:bottom w:val="none" w:sz="0" w:space="0" w:color="auto"/>
                            <w:right w:val="none" w:sz="0" w:space="0" w:color="auto"/>
                          </w:divBdr>
                          <w:divsChild>
                            <w:div w:id="968977696">
                              <w:marLeft w:val="-225"/>
                              <w:marRight w:val="-225"/>
                              <w:marTop w:val="0"/>
                              <w:marBottom w:val="0"/>
                              <w:divBdr>
                                <w:top w:val="none" w:sz="0" w:space="0" w:color="auto"/>
                                <w:left w:val="none" w:sz="0" w:space="0" w:color="auto"/>
                                <w:bottom w:val="none" w:sz="0" w:space="0" w:color="auto"/>
                                <w:right w:val="none" w:sz="0" w:space="0" w:color="auto"/>
                              </w:divBdr>
                              <w:divsChild>
                                <w:div w:id="534268161">
                                  <w:marLeft w:val="0"/>
                                  <w:marRight w:val="0"/>
                                  <w:marTop w:val="0"/>
                                  <w:marBottom w:val="0"/>
                                  <w:divBdr>
                                    <w:top w:val="none" w:sz="0" w:space="0" w:color="auto"/>
                                    <w:left w:val="none" w:sz="0" w:space="0" w:color="auto"/>
                                    <w:bottom w:val="none" w:sz="0" w:space="0" w:color="auto"/>
                                    <w:right w:val="none" w:sz="0" w:space="0" w:color="auto"/>
                                  </w:divBdr>
                                  <w:divsChild>
                                    <w:div w:id="1056784576">
                                      <w:marLeft w:val="0"/>
                                      <w:marRight w:val="0"/>
                                      <w:marTop w:val="0"/>
                                      <w:marBottom w:val="0"/>
                                      <w:divBdr>
                                        <w:top w:val="none" w:sz="0" w:space="0" w:color="auto"/>
                                        <w:left w:val="none" w:sz="0" w:space="0" w:color="auto"/>
                                        <w:bottom w:val="none" w:sz="0" w:space="0" w:color="auto"/>
                                        <w:right w:val="none" w:sz="0" w:space="0" w:color="auto"/>
                                      </w:divBdr>
                                      <w:divsChild>
                                        <w:div w:id="1975600888">
                                          <w:marLeft w:val="0"/>
                                          <w:marRight w:val="0"/>
                                          <w:marTop w:val="0"/>
                                          <w:marBottom w:val="0"/>
                                          <w:divBdr>
                                            <w:top w:val="none" w:sz="0" w:space="0" w:color="auto"/>
                                            <w:left w:val="none" w:sz="0" w:space="0" w:color="auto"/>
                                            <w:bottom w:val="none" w:sz="0" w:space="0" w:color="auto"/>
                                            <w:right w:val="none" w:sz="0" w:space="0" w:color="auto"/>
                                          </w:divBdr>
                                          <w:divsChild>
                                            <w:div w:id="3524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0449">
      <w:bodyDiv w:val="1"/>
      <w:marLeft w:val="0"/>
      <w:marRight w:val="0"/>
      <w:marTop w:val="0"/>
      <w:marBottom w:val="0"/>
      <w:divBdr>
        <w:top w:val="none" w:sz="0" w:space="0" w:color="auto"/>
        <w:left w:val="none" w:sz="0" w:space="0" w:color="auto"/>
        <w:bottom w:val="none" w:sz="0" w:space="0" w:color="auto"/>
        <w:right w:val="none" w:sz="0" w:space="0" w:color="auto"/>
      </w:divBdr>
    </w:div>
    <w:div w:id="204294382">
      <w:bodyDiv w:val="1"/>
      <w:marLeft w:val="0"/>
      <w:marRight w:val="0"/>
      <w:marTop w:val="0"/>
      <w:marBottom w:val="0"/>
      <w:divBdr>
        <w:top w:val="none" w:sz="0" w:space="0" w:color="auto"/>
        <w:left w:val="none" w:sz="0" w:space="0" w:color="auto"/>
        <w:bottom w:val="none" w:sz="0" w:space="0" w:color="auto"/>
        <w:right w:val="none" w:sz="0" w:space="0" w:color="auto"/>
      </w:divBdr>
    </w:div>
    <w:div w:id="668562276">
      <w:bodyDiv w:val="1"/>
      <w:marLeft w:val="0"/>
      <w:marRight w:val="0"/>
      <w:marTop w:val="0"/>
      <w:marBottom w:val="0"/>
      <w:divBdr>
        <w:top w:val="none" w:sz="0" w:space="0" w:color="auto"/>
        <w:left w:val="none" w:sz="0" w:space="0" w:color="auto"/>
        <w:bottom w:val="none" w:sz="0" w:space="0" w:color="auto"/>
        <w:right w:val="none" w:sz="0" w:space="0" w:color="auto"/>
      </w:divBdr>
    </w:div>
    <w:div w:id="1407150076">
      <w:bodyDiv w:val="1"/>
      <w:marLeft w:val="0"/>
      <w:marRight w:val="0"/>
      <w:marTop w:val="0"/>
      <w:marBottom w:val="0"/>
      <w:divBdr>
        <w:top w:val="none" w:sz="0" w:space="0" w:color="auto"/>
        <w:left w:val="none" w:sz="0" w:space="0" w:color="auto"/>
        <w:bottom w:val="none" w:sz="0" w:space="0" w:color="auto"/>
        <w:right w:val="none" w:sz="0" w:space="0" w:color="auto"/>
      </w:divBdr>
    </w:div>
    <w:div w:id="1444492794">
      <w:bodyDiv w:val="1"/>
      <w:marLeft w:val="0"/>
      <w:marRight w:val="0"/>
      <w:marTop w:val="0"/>
      <w:marBottom w:val="0"/>
      <w:divBdr>
        <w:top w:val="none" w:sz="0" w:space="0" w:color="auto"/>
        <w:left w:val="none" w:sz="0" w:space="0" w:color="auto"/>
        <w:bottom w:val="none" w:sz="0" w:space="0" w:color="auto"/>
        <w:right w:val="none" w:sz="0" w:space="0" w:color="auto"/>
      </w:divBdr>
    </w:div>
    <w:div w:id="1725984042">
      <w:bodyDiv w:val="1"/>
      <w:marLeft w:val="0"/>
      <w:marRight w:val="0"/>
      <w:marTop w:val="0"/>
      <w:marBottom w:val="0"/>
      <w:divBdr>
        <w:top w:val="none" w:sz="0" w:space="0" w:color="auto"/>
        <w:left w:val="none" w:sz="0" w:space="0" w:color="auto"/>
        <w:bottom w:val="none" w:sz="0" w:space="0" w:color="auto"/>
        <w:right w:val="none" w:sz="0" w:space="0" w:color="auto"/>
      </w:divBdr>
    </w:div>
    <w:div w:id="1963919821">
      <w:bodyDiv w:val="1"/>
      <w:marLeft w:val="0"/>
      <w:marRight w:val="0"/>
      <w:marTop w:val="0"/>
      <w:marBottom w:val="0"/>
      <w:divBdr>
        <w:top w:val="none" w:sz="0" w:space="0" w:color="auto"/>
        <w:left w:val="none" w:sz="0" w:space="0" w:color="auto"/>
        <w:bottom w:val="none" w:sz="0" w:space="0" w:color="auto"/>
        <w:right w:val="none" w:sz="0" w:space="0" w:color="auto"/>
      </w:divBdr>
    </w:div>
    <w:div w:id="20756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RB">
      <a:dk1>
        <a:sysClr val="windowText" lastClr="000000"/>
      </a:dk1>
      <a:lt1>
        <a:sysClr val="window" lastClr="FFFFFF"/>
      </a:lt1>
      <a:dk2>
        <a:srgbClr val="005EB8"/>
      </a:dk2>
      <a:lt2>
        <a:srgbClr val="575756"/>
      </a:lt2>
      <a:accent1>
        <a:srgbClr val="5E93DB"/>
      </a:accent1>
      <a:accent2>
        <a:srgbClr val="FFCD00"/>
      </a:accent2>
      <a:accent3>
        <a:srgbClr val="005EB8"/>
      </a:accent3>
      <a:accent4>
        <a:srgbClr val="5E93DB"/>
      </a:accent4>
      <a:accent5>
        <a:srgbClr val="FFCD00"/>
      </a:accent5>
      <a:accent6>
        <a:srgbClr val="005EB8"/>
      </a:accent6>
      <a:hlink>
        <a:srgbClr val="5E93DB"/>
      </a:hlink>
      <a:folHlink>
        <a:srgbClr val="FFCD00"/>
      </a:folHlink>
    </a:clrScheme>
    <a:fontScheme name="SR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3f7154-300c-4df4-8215-1bc8a683cd75">
      <Value>1</Value>
    </TaxCatchAll>
    <EC_Collab_Reference xmlns="2d99d92f-24b8-40bc-857f-01659c29f5b9" xsi:nil="true"/>
    <SRBCountrycontr xmlns="2d3f7154-300c-4df4-8215-1bc8a683cd75" xsi:nil="true"/>
    <SRBYearcontr xmlns="2d3f7154-300c-4df4-8215-1bc8a683cd75">2023</SRBYearcontr>
    <EC_Collab_DocumentLanguage xmlns="2d99d92f-24b8-40bc-857f-01659c29f5b9">EN</EC_Collab_DocumentLanguage>
    <SRBCategorycontr xmlns="2d3f7154-300c-4df4-8215-1bc8a683cd75" xsi:nil="true"/>
    <SRBDataClassification xmlns="2d3f7154-300c-4df4-8215-1bc8a683cd75">SRB-YELLOW</SRBDataClassification>
    <EC_Collab_Status xmlns="2d99d92f-24b8-40bc-857f-01659c29f5b9">Not Started</EC_Collab_Status>
    <fe1e379ae185499f968b54a99aa2f245 xmlns="2d3f7154-300c-4df4-8215-1bc8a683cd75">
      <Terms xmlns="http://schemas.microsoft.com/office/infopath/2007/PartnerControls">
        <TermInfo xmlns="http://schemas.microsoft.com/office/infopath/2007/PartnerControls">
          <TermName xmlns="http://schemas.microsoft.com/office/infopath/2007/PartnerControls">11.01.020.010 Contributions - Ex-Ante Calculations</TermName>
          <TermId xmlns="http://schemas.microsoft.com/office/infopath/2007/PartnerControls">ad3ede40-de5f-4eb5-bc29-096614c9e95d</TermId>
        </TermInfo>
      </Terms>
    </fe1e379ae185499f968b54a99aa2f245>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A43BC25537E497438F749B49454AC72B" ma:contentTypeVersion="35" ma:contentTypeDescription="Create a new document in this library." ma:contentTypeScope="" ma:versionID="b8c022f936de6b133ecabfe9933f64ed">
  <xsd:schema xmlns:xsd="http://www.w3.org/2001/XMLSchema" xmlns:xs="http://www.w3.org/2001/XMLSchema" xmlns:p="http://schemas.microsoft.com/office/2006/metadata/properties" xmlns:ns3="2d99d92f-24b8-40bc-857f-01659c29f5b9" xmlns:ns4="2d3f7154-300c-4df4-8215-1bc8a683cd75" targetNamespace="http://schemas.microsoft.com/office/2006/metadata/properties" ma:root="true" ma:fieldsID="84f2763e1ad44727d12c53c59ec3b23f" ns3:_="" ns4:_="">
    <xsd:import namespace="2d99d92f-24b8-40bc-857f-01659c29f5b9"/>
    <xsd:import namespace="2d3f7154-300c-4df4-8215-1bc8a683cd75"/>
    <xsd:element name="properties">
      <xsd:complexType>
        <xsd:sequence>
          <xsd:element name="documentManagement">
            <xsd:complexType>
              <xsd:all>
                <xsd:element ref="ns3:EC_Collab_Reference" minOccurs="0"/>
                <xsd:element ref="ns3:EC_Collab_DocumentLanguage"/>
                <xsd:element ref="ns3:EC_Collab_Status"/>
                <xsd:element ref="ns4:fe1e379ae185499f968b54a99aa2f245" minOccurs="0"/>
                <xsd:element ref="ns4:TaxCatchAll" minOccurs="0"/>
                <xsd:element ref="ns4:SRBYearcontr" minOccurs="0"/>
                <xsd:element ref="ns4:SRBCategorycontr" minOccurs="0"/>
                <xsd:element ref="ns4:SRBCountrycontr" minOccurs="0"/>
                <xsd:element ref="ns4:SRBDataClassification"/>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d92f-24b8-40bc-857f-01659c29f5b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3"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2d3f7154-300c-4df4-8215-1bc8a683cd75" elementFormDefault="qualified">
    <xsd:import namespace="http://schemas.microsoft.com/office/2006/documentManagement/types"/>
    <xsd:import namespace="http://schemas.microsoft.com/office/infopath/2007/PartnerControls"/>
    <xsd:element name="fe1e379ae185499f968b54a99aa2f245" ma:index="16" ma:taxonomy="true" ma:internalName="fe1e379ae185499f968b54a99aa2f245" ma:taxonomyFieldName="SRBFilePlan" ma:displayName="File Plan" ma:default="" ma:fieldId="{fe1e379a-e185-499f-968b-54a99aa2f245}" ma:sspId="02fcca73-72a7-4dba-99f8-a05cf81f9b45" ma:termSetId="1acf73b5-acbc-49d4-b98d-de637d1baddc" ma:anchorId="2726f9ce-a89e-4956-abd9-ced7dc37907c" ma:open="false" ma:isKeyword="false">
      <xsd:complexType>
        <xsd:sequence>
          <xsd:element ref="pc:Terms" minOccurs="0" maxOccurs="1"/>
        </xsd:sequence>
      </xsd:complexType>
    </xsd:element>
    <xsd:element name="TaxCatchAll" ma:index="17" nillable="true" ma:displayName="Taxonomy Catch All Column" ma:description="" ma:hidden="true" ma:list="{a91d9345-ee2a-44b1-8c41-b2c3a3988bbb}" ma:internalName="TaxCatchAll" ma:showField="CatchAllData" ma:web="2d3f7154-300c-4df4-8215-1bc8a683cd75">
      <xsd:complexType>
        <xsd:complexContent>
          <xsd:extension base="dms:MultiChoiceLookup">
            <xsd:sequence>
              <xsd:element name="Value" type="dms:Lookup" maxOccurs="unbounded" minOccurs="0" nillable="true"/>
            </xsd:sequence>
          </xsd:extension>
        </xsd:complexContent>
      </xsd:complexType>
    </xsd:element>
    <xsd:element name="SRBYearcontr" ma:index="18" nillable="true" ma:displayName="Year" ma:format="Dropdown" ma:internalName="SRBYearcont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RBCategorycontr" ma:index="19" nillable="true" ma:displayName="Category" ma:default="" ma:internalName="SRBCategorycontr">
      <xsd:simpleType>
        <xsd:restriction base="dms:Choice">
          <xsd:enumeration value="DGS"/>
          <xsd:enumeration value="Executive Session"/>
          <xsd:enumeration value="FCCC"/>
          <xsd:enumeration value="IGA Waterfall"/>
          <xsd:enumeration value="Legal Texts"/>
          <xsd:enumeration value="Management Meeting"/>
          <xsd:enumeration value="Plenary Session"/>
          <xsd:enumeration value="Public Bridge Financing"/>
        </xsd:restriction>
      </xsd:simpleType>
    </xsd:element>
    <xsd:element name="SRBCountrycontr" ma:index="20" nillable="true" ma:displayName="Country" ma:format="Dropdown" ma:internalName="SRBCountrycontr">
      <xsd:simpleType>
        <xsd:restriction base="dms:Choice">
          <xsd:enumeration value="Austria"/>
          <xsd:enumeration value="Belgium"/>
          <xsd:enumeration value="Bulgaria"/>
          <xsd:enumeration value="China"/>
          <xsd:enumeration value="Croatia"/>
          <xsd:enumeration value="Cyprus"/>
          <xsd:enumeration value="Denmark"/>
          <xsd:enumeration value="Estonia"/>
          <xsd:enumeration value="Finland"/>
          <xsd:enumeration value="France"/>
          <xsd:enumeration value="Germany"/>
          <xsd:enumeration value="Greece"/>
          <xsd:enumeration value="Ireland"/>
          <xsd:enumeration value="Italy"/>
          <xsd:enumeration value="Japan"/>
          <xsd:enumeration value="Korea"/>
          <xsd:enumeration value="Latvia"/>
          <xsd:enumeration value="Lithuania"/>
          <xsd:enumeration value="Luxembourg"/>
          <xsd:enumeration value="Malta"/>
          <xsd:enumeration value="Mexico"/>
          <xsd:enumeration value="n/a"/>
          <xsd:enumeration value="Netherlands"/>
          <xsd:enumeration value="Poland"/>
          <xsd:enumeration value="Portugal"/>
          <xsd:enumeration value="Romania"/>
          <xsd:enumeration value="Slovakia"/>
          <xsd:enumeration value="Slovenia"/>
          <xsd:enumeration value="Spain"/>
          <xsd:enumeration value="United Kingdom"/>
          <xsd:enumeration value="United States"/>
        </xsd:restriction>
      </xsd:simpleType>
    </xsd:element>
    <xsd:element name="SRBDataClassification" ma:index="21" ma:displayName="Data Classification" ma:default="" ma:internalName="SRBDataClassification">
      <xsd:simpleType>
        <xsd:restriction base="dms:Choice">
          <xsd:enumeration value="SRB-BLUE"/>
          <xsd:enumeration value="SRB-GREEN"/>
          <xsd:enumeration value="SRB-ORANGE"/>
          <xsd:enumeration value="SRB-RED"/>
          <xsd:enumeration value="SRB-YELLOW"/>
        </xsd:restriction>
      </xsd:simple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F1694-CC97-49B1-BD8A-4AF25C635439}">
  <ds:schemaRefs>
    <ds:schemaRef ds:uri="http://schemas.microsoft.com/sharepoint/v3/contenttype/forms"/>
  </ds:schemaRefs>
</ds:datastoreItem>
</file>

<file path=customXml/itemProps2.xml><?xml version="1.0" encoding="utf-8"?>
<ds:datastoreItem xmlns:ds="http://schemas.openxmlformats.org/officeDocument/2006/customXml" ds:itemID="{FED05E84-9E0A-4279-A5BA-5201518EE1DB}">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2d3f7154-300c-4df4-8215-1bc8a683cd75"/>
    <ds:schemaRef ds:uri="http://schemas.microsoft.com/office/2006/metadata/properties"/>
    <ds:schemaRef ds:uri="http://schemas.openxmlformats.org/package/2006/metadata/core-properties"/>
    <ds:schemaRef ds:uri="2d99d92f-24b8-40bc-857f-01659c29f5b9"/>
    <ds:schemaRef ds:uri="http://purl.org/dc/dcmitype/"/>
  </ds:schemaRefs>
</ds:datastoreItem>
</file>

<file path=customXml/itemProps3.xml><?xml version="1.0" encoding="utf-8"?>
<ds:datastoreItem xmlns:ds="http://schemas.openxmlformats.org/officeDocument/2006/customXml" ds:itemID="{78C199D6-6FE2-4C9E-90EE-7FAC0F96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d92f-24b8-40bc-857f-01659c29f5b9"/>
    <ds:schemaRef ds:uri="2d3f7154-300c-4df4-8215-1bc8a683c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3CEE3-515B-4C51-B60E-C1291B55CCC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198</ap:TotalTime>
  <ap:Pages>15</ap:Pages>
  <ap:Words>3987</ap:Words>
  <ap:Characters>21933</ap:Characters>
  <ap:Application>Microsoft Office Word</ap:Application>
  <ap:DocSecurity>0</ap:DocSecurity>
  <ap:Lines>182</ap:Lines>
  <ap:Paragraphs>51</ap:Paragraphs>
  <ap:ScaleCrop>false</ap:ScaleCrop>
  <ap:HeadingPairs>
    <vt:vector baseType="variant" size="2">
      <vt:variant>
        <vt:lpstr>Title</vt:lpstr>
      </vt:variant>
      <vt:variant>
        <vt:i4>1</vt:i4>
      </vt:variant>
    </vt:vector>
  </ap:HeadingPairs>
  <ap:TitlesOfParts>
    <vt:vector baseType="lpstr" size="1">
      <vt:lpstr/>
    </vt:vector>
  </ap:TitlesOfParts>
  <ap:Company>CDT</ap:Company>
  <ap:LinksUpToDate>false</ap:LinksUpToDate>
  <ap:CharactersWithSpaces>25869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dc:description/>
  <cp:lastModifiedBy>CDT</cp:lastModifiedBy>
  <cp:revision>34</cp:revision>
  <cp:lastPrinted>2020-11-17T18:14:00Z</cp:lastPrinted>
  <dcterms:created xsi:type="dcterms:W3CDTF">2022-08-26T07:23:00Z</dcterms:created>
  <dcterms:modified xsi:type="dcterms:W3CDTF">2022-10-18T11:39:00Z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0x010100A43BC25537E497438F749B49454AC72B</vt:lpwstr>
  </property>
  <property fmtid="{D5CDD505-2E9C-101B-9397-08002B2CF9AE}" pid="3" name="SRBFilePlan">
    <vt:lpwstr>1;#11.01.020.010 Contributions - Ex-Ante Calculations|ad3ede40-de5f-4eb5-bc29-096614c9e95d</vt:lpwstr>
  </property>
</Properties>
</file>