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BFB" w:rsidRPr="00556A66" w:rsidRDefault="00BF4BFB" w:rsidP="00BF4BFB">
      <w:pPr>
        <w:spacing w:after="0" w:line="240" w:lineRule="auto"/>
        <w:ind w:left="720"/>
        <w:jc w:val="center"/>
        <w:rPr>
          <w:rFonts w:eastAsia="Calibri" w:cs="Arial"/>
          <w:b/>
          <w:bCs/>
          <w:lang w:val="en-GB" w:eastAsia="de-DE"/>
        </w:rPr>
      </w:pPr>
      <w:r w:rsidRPr="00556A66">
        <w:rPr>
          <w:rFonts w:eastAsia="Calibri" w:cs="Arial"/>
          <w:b/>
          <w:bCs/>
          <w:lang w:val="en-GB" w:eastAsia="de-DE"/>
        </w:rPr>
        <w:t>SRB Q&amp;A regarding derivative adjustments</w:t>
      </w:r>
    </w:p>
    <w:p w:rsidR="001D5078" w:rsidRPr="00556A66" w:rsidRDefault="001D5078" w:rsidP="001D5078">
      <w:pPr>
        <w:spacing w:after="0" w:line="240" w:lineRule="auto"/>
        <w:ind w:left="720"/>
        <w:rPr>
          <w:rFonts w:eastAsia="Calibri" w:cs="Arial"/>
          <w:b/>
          <w:bCs/>
          <w:color w:val="2E75B6"/>
          <w:lang w:val="en-GB" w:eastAsia="de-DE"/>
        </w:rPr>
      </w:pPr>
    </w:p>
    <w:p w:rsidR="001D5078" w:rsidRPr="00556A66" w:rsidRDefault="001D5078" w:rsidP="001D5078">
      <w:pPr>
        <w:spacing w:after="0" w:line="240" w:lineRule="auto"/>
        <w:ind w:left="720"/>
        <w:rPr>
          <w:rFonts w:eastAsia="Calibri" w:cs="Arial"/>
          <w:b/>
          <w:bCs/>
          <w:color w:val="2E75B6"/>
          <w:lang w:val="en-GB" w:eastAsia="de-DE"/>
        </w:rPr>
      </w:pPr>
      <w:r w:rsidRPr="00556A66">
        <w:rPr>
          <w:rFonts w:eastAsia="Calibri" w:cs="Arial"/>
          <w:bCs/>
          <w:lang w:val="en-GB" w:eastAsia="de-DE"/>
        </w:rPr>
        <w:t>Questions received by t</w:t>
      </w:r>
      <w:bookmarkStart w:id="0" w:name="_GoBack"/>
      <w:bookmarkEnd w:id="0"/>
      <w:r w:rsidRPr="00556A66">
        <w:rPr>
          <w:rFonts w:eastAsia="Calibri" w:cs="Arial"/>
          <w:bCs/>
          <w:lang w:val="en-GB" w:eastAsia="de-DE"/>
        </w:rPr>
        <w:t xml:space="preserve">he </w:t>
      </w:r>
      <w:r w:rsidR="00E04E66" w:rsidRPr="00556A66">
        <w:rPr>
          <w:rFonts w:eastAsia="Calibri" w:cs="Arial"/>
          <w:bCs/>
          <w:lang w:val="en-GB" w:eastAsia="de-DE"/>
        </w:rPr>
        <w:t xml:space="preserve">Single Resolution Board (SRB) </w:t>
      </w:r>
      <w:proofErr w:type="gramStart"/>
      <w:r w:rsidRPr="00556A66">
        <w:rPr>
          <w:rFonts w:eastAsia="Calibri" w:cs="Arial"/>
          <w:bCs/>
          <w:lang w:val="en-GB" w:eastAsia="de-DE"/>
        </w:rPr>
        <w:t>are written</w:t>
      </w:r>
      <w:proofErr w:type="gramEnd"/>
      <w:r w:rsidRPr="00556A66">
        <w:rPr>
          <w:rFonts w:eastAsia="Calibri" w:cs="Arial"/>
          <w:bCs/>
          <w:lang w:val="en-GB" w:eastAsia="de-DE"/>
        </w:rPr>
        <w:t xml:space="preserve"> in black, the answers by the </w:t>
      </w:r>
      <w:r w:rsidR="00E04E66" w:rsidRPr="00556A66">
        <w:rPr>
          <w:rFonts w:eastAsia="Calibri" w:cs="Arial"/>
          <w:bCs/>
          <w:lang w:val="en-GB" w:eastAsia="de-DE"/>
        </w:rPr>
        <w:t xml:space="preserve">SRB </w:t>
      </w:r>
      <w:r w:rsidRPr="00556A66">
        <w:rPr>
          <w:rFonts w:eastAsia="Calibri" w:cs="Arial"/>
          <w:bCs/>
          <w:lang w:val="en-GB" w:eastAsia="de-DE"/>
        </w:rPr>
        <w:t>are written in</w:t>
      </w:r>
      <w:r w:rsidRPr="00556A66">
        <w:rPr>
          <w:rFonts w:eastAsia="Calibri" w:cs="Arial"/>
          <w:b/>
          <w:bCs/>
          <w:lang w:val="en-GB" w:eastAsia="de-DE"/>
        </w:rPr>
        <w:t xml:space="preserve"> </w:t>
      </w:r>
      <w:r w:rsidRPr="00556A66">
        <w:rPr>
          <w:rFonts w:eastAsia="Calibri" w:cs="Arial"/>
          <w:b/>
          <w:bCs/>
          <w:color w:val="2E75B6"/>
          <w:lang w:val="en-GB" w:eastAsia="de-DE"/>
        </w:rPr>
        <w:t xml:space="preserve">blue. </w:t>
      </w:r>
    </w:p>
    <w:p w:rsidR="00BF4BFB" w:rsidRPr="00556A66" w:rsidRDefault="00BF4BFB" w:rsidP="00BF4BFB">
      <w:pPr>
        <w:spacing w:after="0" w:line="240" w:lineRule="auto"/>
        <w:ind w:left="720"/>
        <w:rPr>
          <w:rFonts w:eastAsia="Calibri" w:cs="Arial"/>
          <w:color w:val="1F497D"/>
          <w:lang w:val="en-GB" w:eastAsia="de-DE"/>
        </w:rPr>
      </w:pP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color w:val="1F497D"/>
          <w:lang w:val="en-GB" w:eastAsia="de-DE"/>
        </w:rPr>
        <w:t>+++</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sz w:val="20"/>
          <w:szCs w:val="20"/>
          <w:lang w:val="en-GB" w:eastAsia="de-DE"/>
        </w:rPr>
        <w:t>1.1       Mark-to-market method, Article 5b of the Commission proposal</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xml:space="preserve">Our understanding is that the method </w:t>
      </w:r>
      <w:proofErr w:type="gramStart"/>
      <w:r w:rsidRPr="00556A66">
        <w:rPr>
          <w:rFonts w:eastAsia="Calibri" w:cs="Arial"/>
          <w:sz w:val="20"/>
          <w:szCs w:val="20"/>
          <w:lang w:val="en-GB" w:eastAsia="de-DE"/>
        </w:rPr>
        <w:t>is intended to be used</w:t>
      </w:r>
      <w:proofErr w:type="gramEnd"/>
      <w:r w:rsidRPr="00556A66">
        <w:rPr>
          <w:rFonts w:eastAsia="Calibri" w:cs="Arial"/>
          <w:sz w:val="20"/>
          <w:szCs w:val="20"/>
          <w:lang w:val="en-GB" w:eastAsia="de-DE"/>
        </w:rPr>
        <w:t xml:space="preserve"> to determine the amount of liabilities arising from derivatives. The wording of Article </w:t>
      </w:r>
      <w:proofErr w:type="gramStart"/>
      <w:r w:rsidRPr="00556A66">
        <w:rPr>
          <w:rFonts w:eastAsia="Calibri" w:cs="Arial"/>
          <w:sz w:val="20"/>
          <w:szCs w:val="20"/>
          <w:lang w:val="en-GB" w:eastAsia="de-DE"/>
        </w:rPr>
        <w:t>5b(</w:t>
      </w:r>
      <w:proofErr w:type="gramEnd"/>
      <w:r w:rsidRPr="00556A66">
        <w:rPr>
          <w:rFonts w:eastAsia="Calibri" w:cs="Arial"/>
          <w:sz w:val="20"/>
          <w:szCs w:val="20"/>
          <w:lang w:val="en-GB" w:eastAsia="de-DE"/>
        </w:rPr>
        <w:t>1) of the Commission proposal is potentially misleadingly, however, as this amount is defined as the “</w:t>
      </w:r>
      <w:r w:rsidRPr="00556A66">
        <w:rPr>
          <w:rFonts w:eastAsia="Calibri" w:cs="Arial"/>
          <w:i/>
          <w:iCs/>
          <w:sz w:val="20"/>
          <w:szCs w:val="20"/>
          <w:lang w:val="en-GB" w:eastAsia="de-DE"/>
        </w:rPr>
        <w:t>absolute value of the net market value of the contracts</w:t>
      </w:r>
      <w:r w:rsidRPr="00556A66">
        <w:rPr>
          <w:rFonts w:eastAsia="Calibri" w:cs="Arial"/>
          <w:sz w:val="20"/>
          <w:szCs w:val="20"/>
          <w:lang w:val="en-GB" w:eastAsia="de-DE"/>
        </w:rPr>
        <w:t>”.</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proofErr w:type="gramStart"/>
      <w:r w:rsidRPr="00556A66">
        <w:rPr>
          <w:rFonts w:eastAsia="Calibri" w:cs="Arial"/>
          <w:sz w:val="20"/>
          <w:szCs w:val="20"/>
          <w:lang w:val="en-GB" w:eastAsia="de-DE"/>
        </w:rPr>
        <w:t>We therefore recommend adding the following wording (underlined and in bold): “</w:t>
      </w:r>
      <w:r w:rsidRPr="00556A66">
        <w:rPr>
          <w:rFonts w:eastAsia="Calibri" w:cs="Arial"/>
          <w:i/>
          <w:iCs/>
          <w:sz w:val="20"/>
          <w:szCs w:val="20"/>
          <w:lang w:val="en-GB" w:eastAsia="de-DE"/>
        </w:rPr>
        <w:t xml:space="preserve">1. The current replacement cost of liabilities arising from derivative contracts at netting set level is the absolute value of the net market value of the contracts within the netting, gross of any collateral held or posted where positive and negative market values are netted in computing the net market value </w:t>
      </w:r>
      <w:r w:rsidRPr="00556A66">
        <w:rPr>
          <w:rFonts w:eastAsia="Calibri" w:cs="Arial"/>
          <w:b/>
          <w:bCs/>
          <w:sz w:val="20"/>
          <w:szCs w:val="20"/>
          <w:u w:val="single"/>
          <w:lang w:val="en-GB" w:eastAsia="de-DE"/>
        </w:rPr>
        <w:t>and</w:t>
      </w:r>
      <w:r w:rsidRPr="00556A66">
        <w:rPr>
          <w:rFonts w:eastAsia="Calibri" w:cs="Arial"/>
          <w:b/>
          <w:bCs/>
          <w:i/>
          <w:iCs/>
          <w:sz w:val="20"/>
          <w:szCs w:val="20"/>
          <w:u w:val="single"/>
          <w:lang w:val="en-GB" w:eastAsia="de-DE"/>
        </w:rPr>
        <w:t xml:space="preserve"> </w:t>
      </w:r>
      <w:r w:rsidRPr="00556A66">
        <w:rPr>
          <w:rFonts w:eastAsia="Calibri" w:cs="Arial"/>
          <w:b/>
          <w:bCs/>
          <w:sz w:val="20"/>
          <w:szCs w:val="20"/>
          <w:u w:val="single"/>
          <w:lang w:val="en-GB" w:eastAsia="de-DE"/>
        </w:rPr>
        <w:t>where netting leads to a net obligation</w:t>
      </w:r>
      <w:r w:rsidRPr="00556A66">
        <w:rPr>
          <w:rFonts w:eastAsia="Calibri" w:cs="Arial"/>
          <w:b/>
          <w:bCs/>
          <w:sz w:val="20"/>
          <w:szCs w:val="20"/>
          <w:lang w:val="en-GB" w:eastAsia="de-DE"/>
        </w:rPr>
        <w:t>.</w:t>
      </w:r>
      <w:r w:rsidRPr="00556A66">
        <w:rPr>
          <w:rFonts w:eastAsia="Calibri" w:cs="Arial"/>
          <w:sz w:val="20"/>
          <w:szCs w:val="20"/>
          <w:lang w:val="en-GB" w:eastAsia="de-DE"/>
        </w:rPr>
        <w:t>”</w:t>
      </w:r>
      <w:proofErr w:type="gramEnd"/>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color w:val="1F497D"/>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color w:val="2E75B6"/>
          <w:lang w:val="en-GB" w:eastAsia="de-DE"/>
        </w:rPr>
        <w:t xml:space="preserve">Reply </w:t>
      </w:r>
      <w:r w:rsidRPr="00556A66">
        <w:rPr>
          <w:rFonts w:eastAsia="Calibri" w:cs="Arial"/>
          <w:b/>
          <w:bCs/>
          <w:color w:val="17375E"/>
          <w:lang w:val="en-GB" w:eastAsia="de-DE"/>
        </w:rPr>
        <w:t>-</w:t>
      </w:r>
      <w:r w:rsidRPr="00556A66">
        <w:rPr>
          <w:rFonts w:eastAsia="Calibri" w:cs="Arial"/>
          <w:b/>
          <w:bCs/>
          <w:color w:val="2E75B6"/>
          <w:lang w:val="en-GB" w:eastAsia="de-DE"/>
        </w:rPr>
        <w:t xml:space="preserve"> </w:t>
      </w:r>
      <w:r w:rsidRPr="00556A66">
        <w:rPr>
          <w:rFonts w:eastAsia="Calibri" w:cs="Arial"/>
          <w:b/>
          <w:bCs/>
          <w:color w:val="2E75B6"/>
          <w:lang w:val="en-US" w:eastAsia="de-DE"/>
        </w:rPr>
        <w:t>We do not see the interpretative issue that you seem to see, as Article 5(b</w:t>
      </w:r>
      <w:proofErr w:type="gramStart"/>
      <w:r w:rsidRPr="00556A66">
        <w:rPr>
          <w:rFonts w:eastAsia="Calibri" w:cs="Arial"/>
          <w:b/>
          <w:bCs/>
          <w:color w:val="2E75B6"/>
          <w:lang w:val="en-US" w:eastAsia="de-DE"/>
        </w:rPr>
        <w:t>)1</w:t>
      </w:r>
      <w:proofErr w:type="gramEnd"/>
      <w:r w:rsidRPr="00556A66">
        <w:rPr>
          <w:rFonts w:eastAsia="Calibri" w:cs="Arial"/>
          <w:b/>
          <w:bCs/>
          <w:color w:val="2E75B6"/>
          <w:lang w:val="en-US" w:eastAsia="de-DE"/>
        </w:rPr>
        <w:t xml:space="preserve"> already refers at the beginning of the intended provision to liabilities only, when it states: “of liabilities arising from derivative contracts at netting set level”.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color w:val="1F497D"/>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sz w:val="20"/>
          <w:szCs w:val="20"/>
          <w:lang w:val="en-GB" w:eastAsia="de-DE"/>
        </w:rPr>
        <w:t>1.2 Effects of recognition of netting as risk-reducing, Article 5e of the Commission proposal</w:t>
      </w:r>
    </w:p>
    <w:p w:rsidR="00BF4BFB" w:rsidRPr="00556A66" w:rsidRDefault="00BF4BFB" w:rsidP="001D5078">
      <w:pPr>
        <w:spacing w:after="0" w:line="240" w:lineRule="auto"/>
        <w:ind w:left="1080"/>
        <w:contextualSpacing/>
        <w:jc w:val="both"/>
        <w:rPr>
          <w:rFonts w:eastAsia="Calibri" w:cs="Arial"/>
          <w:sz w:val="20"/>
          <w:szCs w:val="20"/>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sz w:val="20"/>
          <w:szCs w:val="20"/>
          <w:lang w:val="en-GB" w:eastAsia="de-DE"/>
        </w:rPr>
      </w:pPr>
      <w:r w:rsidRPr="00556A66">
        <w:rPr>
          <w:rFonts w:eastAsia="Calibri" w:cs="Arial"/>
          <w:sz w:val="20"/>
          <w:szCs w:val="20"/>
          <w:lang w:val="en-GB" w:eastAsia="de-DE"/>
        </w:rPr>
        <w:t xml:space="preserve">Article 5e regulates the effect of netting. Article </w:t>
      </w:r>
      <w:proofErr w:type="gramStart"/>
      <w:r w:rsidRPr="00556A66">
        <w:rPr>
          <w:rFonts w:eastAsia="Calibri" w:cs="Arial"/>
          <w:sz w:val="20"/>
          <w:szCs w:val="20"/>
          <w:lang w:val="en-GB" w:eastAsia="de-DE"/>
        </w:rPr>
        <w:t>5e(</w:t>
      </w:r>
      <w:proofErr w:type="gramEnd"/>
      <w:r w:rsidRPr="00556A66">
        <w:rPr>
          <w:rFonts w:eastAsia="Calibri" w:cs="Arial"/>
          <w:sz w:val="20"/>
          <w:szCs w:val="20"/>
          <w:lang w:val="en-GB" w:eastAsia="de-DE"/>
        </w:rPr>
        <w:t xml:space="preserve">1)(b) states that the </w:t>
      </w:r>
      <w:r w:rsidRPr="00556A66">
        <w:rPr>
          <w:rFonts w:eastAsia="Calibri" w:cs="Arial"/>
          <w:b/>
          <w:bCs/>
          <w:sz w:val="20"/>
          <w:szCs w:val="20"/>
          <w:lang w:val="en-GB" w:eastAsia="de-DE"/>
        </w:rPr>
        <w:t>replacement cost</w:t>
      </w:r>
      <w:r w:rsidRPr="00556A66">
        <w:rPr>
          <w:rFonts w:eastAsia="Calibri" w:cs="Arial"/>
          <w:sz w:val="20"/>
          <w:szCs w:val="20"/>
          <w:lang w:val="en-GB" w:eastAsia="de-DE"/>
        </w:rPr>
        <w:t xml:space="preserve"> should be set at zero if netting leads to “</w:t>
      </w:r>
      <w:r w:rsidRPr="00556A66">
        <w:rPr>
          <w:rFonts w:eastAsia="Calibri" w:cs="Arial"/>
          <w:i/>
          <w:iCs/>
          <w:sz w:val="20"/>
          <w:szCs w:val="20"/>
          <w:lang w:val="en-GB" w:eastAsia="de-DE"/>
        </w:rPr>
        <w:t>a net obligation</w:t>
      </w:r>
      <w:r w:rsidRPr="00556A66">
        <w:rPr>
          <w:rFonts w:eastAsia="Calibri" w:cs="Arial"/>
          <w:sz w:val="20"/>
          <w:szCs w:val="20"/>
          <w:lang w:val="en-GB" w:eastAsia="de-DE"/>
        </w:rPr>
        <w:t>” (i.e. liabilities).</w:t>
      </w:r>
    </w:p>
    <w:p w:rsidR="00BF4BFB" w:rsidRPr="00556A66" w:rsidRDefault="00BF4BFB" w:rsidP="001D5078">
      <w:pPr>
        <w:spacing w:after="0" w:line="240" w:lineRule="auto"/>
        <w:ind w:left="1080"/>
        <w:contextualSpacing/>
        <w:jc w:val="both"/>
        <w:rPr>
          <w:rFonts w:eastAsia="Calibri" w:cs="Arial"/>
          <w:sz w:val="20"/>
          <w:szCs w:val="20"/>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i/>
          <w:iCs/>
          <w:sz w:val="20"/>
          <w:szCs w:val="20"/>
          <w:lang w:val="en-GB" w:eastAsia="de-DE"/>
        </w:rPr>
        <w:t xml:space="preserve">(b) </w:t>
      </w:r>
      <w:proofErr w:type="gramStart"/>
      <w:r w:rsidRPr="00556A66">
        <w:rPr>
          <w:rFonts w:eastAsia="Calibri" w:cs="Arial"/>
          <w:i/>
          <w:iCs/>
          <w:sz w:val="20"/>
          <w:szCs w:val="20"/>
          <w:lang w:val="en-GB" w:eastAsia="de-DE"/>
        </w:rPr>
        <w:t>in</w:t>
      </w:r>
      <w:proofErr w:type="gramEnd"/>
      <w:r w:rsidRPr="00556A66">
        <w:rPr>
          <w:rFonts w:eastAsia="Calibri" w:cs="Arial"/>
          <w:i/>
          <w:iCs/>
          <w:sz w:val="20"/>
          <w:szCs w:val="20"/>
          <w:lang w:val="en-GB" w:eastAsia="de-DE"/>
        </w:rPr>
        <w:t xml:space="preserve"> the case of other netting agreements, institutions shall </w:t>
      </w:r>
      <w:r w:rsidRPr="00556A66">
        <w:rPr>
          <w:rFonts w:eastAsia="Calibri" w:cs="Arial"/>
          <w:b/>
          <w:bCs/>
          <w:i/>
          <w:iCs/>
          <w:sz w:val="20"/>
          <w:szCs w:val="20"/>
          <w:lang w:val="en-GB" w:eastAsia="de-DE"/>
        </w:rPr>
        <w:t>apply Article 5b</w:t>
      </w:r>
      <w:r w:rsidRPr="00556A66">
        <w:rPr>
          <w:rFonts w:eastAsia="Calibri" w:cs="Arial"/>
          <w:i/>
          <w:iCs/>
          <w:sz w:val="20"/>
          <w:szCs w:val="20"/>
          <w:lang w:val="en-GB" w:eastAsia="de-DE"/>
        </w:rPr>
        <w:t xml:space="preserve"> as follows:</w:t>
      </w:r>
    </w:p>
    <w:p w:rsidR="00BF4BFB" w:rsidRPr="00556A66" w:rsidRDefault="00BF4BFB" w:rsidP="001D5078">
      <w:pPr>
        <w:spacing w:after="0" w:line="240" w:lineRule="auto"/>
        <w:ind w:left="720"/>
        <w:jc w:val="both"/>
        <w:rPr>
          <w:rFonts w:eastAsia="Calibri" w:cs="Arial"/>
          <w:lang w:val="en-GB" w:eastAsia="de-DE"/>
        </w:rPr>
      </w:pPr>
      <w:proofErr w:type="gramStart"/>
      <w:r w:rsidRPr="00556A66">
        <w:rPr>
          <w:rFonts w:eastAsia="Calibri" w:cs="Arial"/>
          <w:i/>
          <w:iCs/>
          <w:sz w:val="20"/>
          <w:szCs w:val="20"/>
          <w:lang w:val="en-GB" w:eastAsia="de-DE"/>
        </w:rPr>
        <w:t xml:space="preserve">(1) the </w:t>
      </w:r>
      <w:r w:rsidRPr="00556A66">
        <w:rPr>
          <w:rFonts w:eastAsia="Calibri" w:cs="Arial"/>
          <w:b/>
          <w:bCs/>
          <w:i/>
          <w:iCs/>
          <w:sz w:val="20"/>
          <w:szCs w:val="20"/>
          <w:lang w:val="en-GB" w:eastAsia="de-DE"/>
        </w:rPr>
        <w:t>current replacement cost</w:t>
      </w:r>
      <w:r w:rsidRPr="00556A66">
        <w:rPr>
          <w:rFonts w:eastAsia="Calibri" w:cs="Arial"/>
          <w:i/>
          <w:iCs/>
          <w:sz w:val="20"/>
          <w:szCs w:val="20"/>
          <w:lang w:val="en-GB" w:eastAsia="de-DE"/>
        </w:rPr>
        <w:t xml:space="preserve"> referred to in Article 5b(1) for the contracts included in a netting agreement shall be obtained by taking account of the actual hypothetical net replacement cost which results from the agreement; in the case </w:t>
      </w:r>
      <w:r w:rsidRPr="00556A66">
        <w:rPr>
          <w:rFonts w:eastAsia="Calibri" w:cs="Arial"/>
          <w:b/>
          <w:bCs/>
          <w:i/>
          <w:iCs/>
          <w:sz w:val="20"/>
          <w:szCs w:val="20"/>
          <w:lang w:val="en-GB" w:eastAsia="de-DE"/>
        </w:rPr>
        <w:t>where netting leads to a net obligation for the institution calculating the net replacement cost, the current replacement cost is calculated as ‘0’;</w:t>
      </w:r>
      <w:proofErr w:type="gramEnd"/>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US" w:eastAsia="de-DE"/>
        </w:rPr>
        <w:t> </w:t>
      </w:r>
    </w:p>
    <w:p w:rsidR="00BF4BFB" w:rsidRPr="00556A66" w:rsidRDefault="00BF4BFB" w:rsidP="001D5078">
      <w:pPr>
        <w:spacing w:after="0" w:line="240" w:lineRule="auto"/>
        <w:ind w:left="720"/>
        <w:jc w:val="both"/>
        <w:rPr>
          <w:rFonts w:eastAsia="Calibri" w:cs="Arial"/>
          <w:sz w:val="20"/>
          <w:szCs w:val="20"/>
          <w:lang w:val="en-GB" w:eastAsia="de-DE"/>
        </w:rPr>
      </w:pPr>
      <w:r w:rsidRPr="00556A66">
        <w:rPr>
          <w:rFonts w:eastAsia="Calibri" w:cs="Arial"/>
          <w:sz w:val="20"/>
          <w:szCs w:val="20"/>
          <w:lang w:val="en-GB" w:eastAsia="de-DE"/>
        </w:rPr>
        <w:t>We believe this contradicts the basic objective of setting out a methodology for calculating liabilities. The proposal has evidently used the requirement from Article 298(1</w:t>
      </w:r>
      <w:proofErr w:type="gramStart"/>
      <w:r w:rsidRPr="00556A66">
        <w:rPr>
          <w:rFonts w:eastAsia="Calibri" w:cs="Arial"/>
          <w:sz w:val="20"/>
          <w:szCs w:val="20"/>
          <w:lang w:val="en-GB" w:eastAsia="de-DE"/>
        </w:rPr>
        <w:t>)(</w:t>
      </w:r>
      <w:proofErr w:type="gramEnd"/>
      <w:r w:rsidRPr="00556A66">
        <w:rPr>
          <w:rFonts w:eastAsia="Calibri" w:cs="Arial"/>
          <w:sz w:val="20"/>
          <w:szCs w:val="20"/>
          <w:lang w:val="en-GB" w:eastAsia="de-DE"/>
        </w:rPr>
        <w:t>c) of the 2015 version of the CRR as a basis and has failed to take account of the fact that it is liabilities that are relevant here. In its present form, Article 5e(1)(b) would lead to the “</w:t>
      </w:r>
      <w:r w:rsidRPr="00556A66">
        <w:rPr>
          <w:rFonts w:eastAsia="Calibri" w:cs="Arial"/>
          <w:i/>
          <w:iCs/>
          <w:sz w:val="20"/>
          <w:szCs w:val="20"/>
          <w:lang w:val="en-GB" w:eastAsia="de-DE"/>
        </w:rPr>
        <w:t>current replacement cost</w:t>
      </w:r>
      <w:r w:rsidRPr="00556A66">
        <w:rPr>
          <w:rFonts w:eastAsia="Calibri" w:cs="Arial"/>
          <w:sz w:val="20"/>
          <w:szCs w:val="20"/>
          <w:lang w:val="en-GB" w:eastAsia="de-DE"/>
        </w:rPr>
        <w:t xml:space="preserve">” calculated in accordance with Article 5b being set at “0”, meaning that it would consequently not be included in the assessment basis for the bank levy. One possible interpretation is that “net assets” are meant here and not “net obligation”. </w:t>
      </w:r>
    </w:p>
    <w:p w:rsidR="00BF4BFB" w:rsidRPr="00556A66" w:rsidRDefault="00BF4BFB" w:rsidP="001D5078">
      <w:pPr>
        <w:spacing w:after="0" w:line="240" w:lineRule="auto"/>
        <w:ind w:left="720"/>
        <w:jc w:val="both"/>
        <w:rPr>
          <w:rFonts w:eastAsia="Calibri" w:cs="Arial"/>
          <w:sz w:val="20"/>
          <w:szCs w:val="20"/>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sz w:val="20"/>
          <w:szCs w:val="20"/>
          <w:lang w:val="en-GB" w:eastAsia="de-DE"/>
        </w:rPr>
      </w:pPr>
      <w:r w:rsidRPr="00556A66">
        <w:rPr>
          <w:rFonts w:eastAsia="Calibri" w:cs="Arial"/>
          <w:sz w:val="20"/>
          <w:szCs w:val="20"/>
          <w:lang w:val="en-GB" w:eastAsia="de-DE"/>
        </w:rPr>
        <w:t>We would appreciate clarification and appropriate adjustment to Article 5e.</w:t>
      </w:r>
    </w:p>
    <w:p w:rsidR="00BF4BFB" w:rsidRPr="00556A66" w:rsidRDefault="00BF4BFB" w:rsidP="001D5078">
      <w:pPr>
        <w:spacing w:after="0" w:line="240" w:lineRule="auto"/>
        <w:ind w:left="720"/>
        <w:jc w:val="both"/>
        <w:rPr>
          <w:rFonts w:eastAsia="Calibri" w:cs="Arial"/>
          <w:sz w:val="20"/>
          <w:szCs w:val="20"/>
          <w:lang w:val="en-GB" w:eastAsia="de-DE"/>
        </w:rPr>
      </w:pPr>
      <w:r w:rsidRPr="00556A66">
        <w:rPr>
          <w:rFonts w:eastAsia="Calibri" w:cs="Arial"/>
          <w:color w:val="1F497D"/>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color w:val="2E75B6"/>
          <w:lang w:val="en-US" w:eastAsia="de-DE"/>
        </w:rPr>
        <w:t>Reply - Thanks for bringing this to our attention.</w:t>
      </w:r>
    </w:p>
    <w:p w:rsidR="00BF4BFB" w:rsidRPr="00556A66" w:rsidRDefault="00BF4BFB" w:rsidP="001D5078">
      <w:pPr>
        <w:spacing w:after="0" w:line="240" w:lineRule="auto"/>
        <w:ind w:left="720"/>
        <w:jc w:val="both"/>
        <w:rPr>
          <w:rFonts w:eastAsia="Calibri" w:cs="Arial"/>
          <w:sz w:val="20"/>
          <w:szCs w:val="20"/>
          <w:lang w:val="en-GB" w:eastAsia="de-DE"/>
        </w:rPr>
      </w:pPr>
      <w:r w:rsidRPr="00556A66">
        <w:rPr>
          <w:rFonts w:eastAsia="Calibri" w:cs="Arial"/>
          <w:color w:val="1F497D"/>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sz w:val="20"/>
          <w:szCs w:val="20"/>
          <w:lang w:val="en-GB" w:eastAsia="de-DE"/>
        </w:rPr>
        <w:t xml:space="preserve">1.3       SRB requirement in Article </w:t>
      </w:r>
      <w:proofErr w:type="gramStart"/>
      <w:r w:rsidRPr="00556A66">
        <w:rPr>
          <w:rFonts w:eastAsia="Calibri" w:cs="Arial"/>
          <w:b/>
          <w:bCs/>
          <w:sz w:val="20"/>
          <w:szCs w:val="20"/>
          <w:lang w:val="en-GB" w:eastAsia="de-DE"/>
        </w:rPr>
        <w:t>A(</w:t>
      </w:r>
      <w:proofErr w:type="gramEnd"/>
      <w:r w:rsidRPr="00556A66">
        <w:rPr>
          <w:rFonts w:eastAsia="Calibri" w:cs="Arial"/>
          <w:b/>
          <w:bCs/>
          <w:sz w:val="20"/>
          <w:szCs w:val="20"/>
          <w:lang w:val="en-GB" w:eastAsia="de-DE"/>
        </w:rPr>
        <w:t>2) vs. Article 5a of the Commission proposal – treatment of collateral posted</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xml:space="preserve">The </w:t>
      </w:r>
      <w:r w:rsidRPr="00556A66">
        <w:rPr>
          <w:rFonts w:eastAsia="Calibri" w:cs="Arial"/>
          <w:b/>
          <w:bCs/>
          <w:sz w:val="20"/>
          <w:szCs w:val="20"/>
          <w:lang w:val="en-GB" w:eastAsia="de-DE"/>
        </w:rPr>
        <w:t>SRB</w:t>
      </w:r>
      <w:r w:rsidRPr="00556A66">
        <w:rPr>
          <w:rFonts w:eastAsia="Calibri" w:cs="Arial"/>
          <w:sz w:val="20"/>
          <w:szCs w:val="20"/>
          <w:lang w:val="en-GB" w:eastAsia="de-DE"/>
        </w:rPr>
        <w:t xml:space="preserve"> states </w:t>
      </w:r>
      <w:r w:rsidRPr="00556A66">
        <w:rPr>
          <w:rFonts w:eastAsia="Calibri" w:cs="Arial"/>
          <w:b/>
          <w:bCs/>
          <w:sz w:val="20"/>
          <w:szCs w:val="20"/>
          <w:lang w:val="en-GB" w:eastAsia="de-DE"/>
        </w:rPr>
        <w:t xml:space="preserve">in Article </w:t>
      </w:r>
      <w:proofErr w:type="gramStart"/>
      <w:r w:rsidRPr="00556A66">
        <w:rPr>
          <w:rFonts w:eastAsia="Calibri" w:cs="Arial"/>
          <w:b/>
          <w:bCs/>
          <w:sz w:val="20"/>
          <w:szCs w:val="20"/>
          <w:lang w:val="en-GB" w:eastAsia="de-DE"/>
        </w:rPr>
        <w:t>A(</w:t>
      </w:r>
      <w:proofErr w:type="gramEnd"/>
      <w:r w:rsidRPr="00556A66">
        <w:rPr>
          <w:rFonts w:eastAsia="Calibri" w:cs="Arial"/>
          <w:b/>
          <w:bCs/>
          <w:sz w:val="20"/>
          <w:szCs w:val="20"/>
          <w:lang w:val="en-GB" w:eastAsia="de-DE"/>
        </w:rPr>
        <w:t>2)</w:t>
      </w:r>
      <w:r w:rsidRPr="00556A66">
        <w:rPr>
          <w:rFonts w:eastAsia="Calibri" w:cs="Arial"/>
          <w:sz w:val="20"/>
          <w:szCs w:val="20"/>
          <w:lang w:val="en-GB" w:eastAsia="de-DE"/>
        </w:rPr>
        <w:t xml:space="preserve"> that “</w:t>
      </w:r>
      <w:r w:rsidRPr="00556A66">
        <w:rPr>
          <w:rFonts w:eastAsia="Calibri" w:cs="Arial"/>
          <w:i/>
          <w:iCs/>
          <w:sz w:val="20"/>
          <w:szCs w:val="20"/>
          <w:lang w:val="en-GB" w:eastAsia="de-DE"/>
        </w:rPr>
        <w:t xml:space="preserve">Where the provision of collateral related to derivatives contracts </w:t>
      </w:r>
      <w:r w:rsidRPr="00556A66">
        <w:rPr>
          <w:rFonts w:eastAsia="Calibri" w:cs="Arial"/>
          <w:b/>
          <w:bCs/>
          <w:i/>
          <w:iCs/>
          <w:sz w:val="20"/>
          <w:szCs w:val="20"/>
          <w:lang w:val="en-GB" w:eastAsia="de-DE"/>
        </w:rPr>
        <w:t>increases</w:t>
      </w:r>
      <w:r w:rsidRPr="00556A66">
        <w:rPr>
          <w:rFonts w:eastAsia="Calibri" w:cs="Arial"/>
          <w:i/>
          <w:iCs/>
          <w:sz w:val="20"/>
          <w:szCs w:val="20"/>
          <w:lang w:val="en-GB" w:eastAsia="de-DE"/>
        </w:rPr>
        <w:t xml:space="preserve"> the amount of liabilities under the applicable accounting framework, institutions shall consider that increase.</w:t>
      </w:r>
      <w:r w:rsidRPr="00556A66">
        <w:rPr>
          <w:rFonts w:eastAsia="Calibri" w:cs="Arial"/>
          <w:sz w:val="20"/>
          <w:szCs w:val="20"/>
          <w:lang w:val="en-GB" w:eastAsia="de-DE"/>
        </w:rPr>
        <w:t xml:space="preserve">” This requirements is evidently intended to reflect </w:t>
      </w:r>
      <w:r w:rsidRPr="00556A66">
        <w:rPr>
          <w:rFonts w:eastAsia="Calibri" w:cs="Arial"/>
          <w:b/>
          <w:bCs/>
          <w:sz w:val="20"/>
          <w:szCs w:val="20"/>
          <w:lang w:val="en-GB" w:eastAsia="de-DE"/>
        </w:rPr>
        <w:t xml:space="preserve">Article </w:t>
      </w:r>
      <w:proofErr w:type="gramStart"/>
      <w:r w:rsidRPr="00556A66">
        <w:rPr>
          <w:rFonts w:eastAsia="Calibri" w:cs="Arial"/>
          <w:b/>
          <w:bCs/>
          <w:sz w:val="20"/>
          <w:szCs w:val="20"/>
          <w:lang w:val="en-GB" w:eastAsia="de-DE"/>
        </w:rPr>
        <w:t>5a(</w:t>
      </w:r>
      <w:proofErr w:type="gramEnd"/>
      <w:r w:rsidRPr="00556A66">
        <w:rPr>
          <w:rFonts w:eastAsia="Calibri" w:cs="Arial"/>
          <w:b/>
          <w:bCs/>
          <w:sz w:val="20"/>
          <w:szCs w:val="20"/>
          <w:lang w:val="en-GB" w:eastAsia="de-DE"/>
        </w:rPr>
        <w:t>2) of the Commission proposal</w:t>
      </w:r>
      <w:r w:rsidRPr="00556A66">
        <w:rPr>
          <w:rFonts w:eastAsia="Calibri" w:cs="Arial"/>
          <w:sz w:val="20"/>
          <w:szCs w:val="20"/>
          <w:lang w:val="en-GB" w:eastAsia="de-DE"/>
        </w:rPr>
        <w:t>: “</w:t>
      </w:r>
      <w:r w:rsidRPr="00556A66">
        <w:rPr>
          <w:rFonts w:eastAsia="Calibri" w:cs="Arial"/>
          <w:i/>
          <w:iCs/>
          <w:sz w:val="20"/>
          <w:szCs w:val="20"/>
          <w:lang w:val="en-GB" w:eastAsia="de-DE"/>
        </w:rPr>
        <w:t xml:space="preserve">Where the provision of collateral related to derivatives contracts </w:t>
      </w:r>
      <w:r w:rsidRPr="00556A66">
        <w:rPr>
          <w:rFonts w:eastAsia="Calibri" w:cs="Arial"/>
          <w:b/>
          <w:bCs/>
          <w:i/>
          <w:iCs/>
          <w:sz w:val="20"/>
          <w:szCs w:val="20"/>
          <w:lang w:val="en-GB" w:eastAsia="de-DE"/>
        </w:rPr>
        <w:t>reduces the amount of liabilities</w:t>
      </w:r>
      <w:r w:rsidRPr="00556A66">
        <w:rPr>
          <w:rFonts w:eastAsia="Calibri" w:cs="Arial"/>
          <w:i/>
          <w:iCs/>
          <w:sz w:val="20"/>
          <w:szCs w:val="20"/>
          <w:lang w:val="en-GB" w:eastAsia="de-DE"/>
        </w:rPr>
        <w:t xml:space="preserve"> under the applicable accounting framework, institutions shall reverse that reduction</w:t>
      </w:r>
      <w:r w:rsidRPr="00556A66">
        <w:rPr>
          <w:rFonts w:eastAsia="Calibri" w:cs="Arial"/>
          <w:sz w:val="20"/>
          <w:szCs w:val="20"/>
          <w:lang w:val="en-GB" w:eastAsia="de-DE"/>
        </w:rPr>
        <w:t>.”</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lastRenderedPageBreak/>
        <w:t xml:space="preserve">We find the Commission proposal clear and readily understandable. It clarifies that, when liabilities </w:t>
      </w:r>
      <w:proofErr w:type="gramStart"/>
      <w:r w:rsidRPr="00556A66">
        <w:rPr>
          <w:rFonts w:eastAsia="Calibri" w:cs="Arial"/>
          <w:sz w:val="20"/>
          <w:szCs w:val="20"/>
          <w:lang w:val="en-GB" w:eastAsia="de-DE"/>
        </w:rPr>
        <w:t>are calculated</w:t>
      </w:r>
      <w:proofErr w:type="gramEnd"/>
      <w:r w:rsidRPr="00556A66">
        <w:rPr>
          <w:rFonts w:eastAsia="Calibri" w:cs="Arial"/>
          <w:sz w:val="20"/>
          <w:szCs w:val="20"/>
          <w:lang w:val="en-GB" w:eastAsia="de-DE"/>
        </w:rPr>
        <w:t xml:space="preserve"> for prudential purposes (using the so-called derivatives adjustment method), the amount of liabilities arising from derivatives used as the starting point for the calculation </w:t>
      </w:r>
      <w:r w:rsidRPr="00556A66">
        <w:rPr>
          <w:rFonts w:eastAsia="Calibri" w:cs="Arial"/>
          <w:b/>
          <w:bCs/>
          <w:sz w:val="20"/>
          <w:szCs w:val="20"/>
          <w:lang w:val="en-GB" w:eastAsia="de-DE"/>
        </w:rPr>
        <w:t>may not be reduced by collateral posted</w:t>
      </w:r>
      <w:r w:rsidRPr="00556A66">
        <w:rPr>
          <w:rFonts w:eastAsia="Calibri" w:cs="Arial"/>
          <w:sz w:val="20"/>
          <w:szCs w:val="20"/>
          <w:lang w:val="en-GB" w:eastAsia="de-DE"/>
        </w:rPr>
        <w:t>, as it possibly can in calculations for accounting purposes.</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sz w:val="20"/>
          <w:szCs w:val="20"/>
          <w:lang w:val="en-GB" w:eastAsia="de-DE"/>
        </w:rPr>
        <w:t>We consider the SRB requirement unclear, by contrast</w:t>
      </w:r>
      <w:r w:rsidRPr="00556A66">
        <w:rPr>
          <w:rFonts w:eastAsia="Calibri" w:cs="Arial"/>
          <w:sz w:val="20"/>
          <w:szCs w:val="20"/>
          <w:lang w:val="en-GB" w:eastAsia="de-DE"/>
        </w:rPr>
        <w:t>. The term “</w:t>
      </w:r>
      <w:r w:rsidRPr="00556A66">
        <w:rPr>
          <w:rFonts w:eastAsia="Calibri" w:cs="Arial"/>
          <w:i/>
          <w:iCs/>
          <w:sz w:val="20"/>
          <w:szCs w:val="20"/>
          <w:lang w:val="en-GB" w:eastAsia="de-DE"/>
        </w:rPr>
        <w:t>provision of collateral</w:t>
      </w:r>
      <w:r w:rsidRPr="00556A66">
        <w:rPr>
          <w:rFonts w:eastAsia="Calibri" w:cs="Arial"/>
          <w:sz w:val="20"/>
          <w:szCs w:val="20"/>
          <w:lang w:val="en-GB" w:eastAsia="de-DE"/>
        </w:rPr>
        <w:t xml:space="preserve">” suggests that this also covers collateral provided by the institution. </w:t>
      </w:r>
      <w:proofErr w:type="gramStart"/>
      <w:r w:rsidRPr="00556A66">
        <w:rPr>
          <w:rFonts w:eastAsia="Calibri" w:cs="Arial"/>
          <w:sz w:val="20"/>
          <w:szCs w:val="20"/>
          <w:lang w:val="en-GB" w:eastAsia="de-DE"/>
        </w:rPr>
        <w:t>But</w:t>
      </w:r>
      <w:proofErr w:type="gramEnd"/>
      <w:r w:rsidRPr="00556A66">
        <w:rPr>
          <w:rFonts w:eastAsia="Calibri" w:cs="Arial"/>
          <w:sz w:val="20"/>
          <w:szCs w:val="20"/>
          <w:lang w:val="en-GB" w:eastAsia="de-DE"/>
        </w:rPr>
        <w:t xml:space="preserve"> how is posted collateral supposed to increase the amount of accounting liabilities? If “cash collateral received” </w:t>
      </w:r>
      <w:proofErr w:type="gramStart"/>
      <w:r w:rsidRPr="00556A66">
        <w:rPr>
          <w:rFonts w:eastAsia="Calibri" w:cs="Arial"/>
          <w:sz w:val="20"/>
          <w:szCs w:val="20"/>
          <w:lang w:val="en-GB" w:eastAsia="de-DE"/>
        </w:rPr>
        <w:t>is meant</w:t>
      </w:r>
      <w:proofErr w:type="gramEnd"/>
      <w:r w:rsidRPr="00556A66">
        <w:rPr>
          <w:rFonts w:eastAsia="Calibri" w:cs="Arial"/>
          <w:sz w:val="20"/>
          <w:szCs w:val="20"/>
          <w:lang w:val="en-GB" w:eastAsia="de-DE"/>
        </w:rPr>
        <w:t xml:space="preserve"> and this is intended to be included in the calculation of the exposure from derivatives (field 2C1), we believe this item would then be counted twice when calculating the bank levy (once in field 2A1: balance-sheet liabilities, and once in field 2C1: exposure for derivatives). This double counting cannot possibly be intentional.</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We would appreciate investigation of this point and would ask the SRB to explain or adjust its requirements.</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color w:val="1F497D"/>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color w:val="2E75B6"/>
          <w:lang w:val="en-US" w:eastAsia="de-DE"/>
        </w:rPr>
        <w:t xml:space="preserve">Reply - Thanks for pointing this out. Any liabilities arising from a collateral transaction should be included in data point 2A1 and </w:t>
      </w:r>
      <w:proofErr w:type="gramStart"/>
      <w:r w:rsidRPr="00556A66">
        <w:rPr>
          <w:rFonts w:eastAsia="Calibri" w:cs="Arial"/>
          <w:b/>
          <w:bCs/>
          <w:color w:val="2E75B6"/>
          <w:lang w:val="en-US" w:eastAsia="de-DE"/>
        </w:rPr>
        <w:t>should not be considered</w:t>
      </w:r>
      <w:proofErr w:type="gramEnd"/>
      <w:r w:rsidRPr="00556A66">
        <w:rPr>
          <w:rFonts w:eastAsia="Calibri" w:cs="Arial"/>
          <w:b/>
          <w:bCs/>
          <w:color w:val="2E75B6"/>
          <w:lang w:val="en-US" w:eastAsia="de-DE"/>
        </w:rPr>
        <w:t xml:space="preserve"> for the valuation for data point 2C1. The principle of the reversion of the reduction should guide the reporting of this item. The SRB guidance </w:t>
      </w:r>
      <w:proofErr w:type="gramStart"/>
      <w:r w:rsidRPr="00556A66">
        <w:rPr>
          <w:rFonts w:eastAsia="Calibri" w:cs="Arial"/>
          <w:b/>
          <w:bCs/>
          <w:color w:val="2E75B6"/>
          <w:lang w:val="en-US" w:eastAsia="de-DE"/>
        </w:rPr>
        <w:t>should be interpreted</w:t>
      </w:r>
      <w:proofErr w:type="gramEnd"/>
      <w:r w:rsidRPr="00556A66">
        <w:rPr>
          <w:rFonts w:eastAsia="Calibri" w:cs="Arial"/>
          <w:b/>
          <w:bCs/>
          <w:color w:val="2E75B6"/>
          <w:lang w:val="en-US" w:eastAsia="de-DE"/>
        </w:rPr>
        <w:t xml:space="preserve"> in light of and in accordance with the relevant provisions of the Commission Delegated Regulation.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color w:val="1F497D"/>
          <w:lang w:val="en-US"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sz w:val="20"/>
          <w:szCs w:val="20"/>
          <w:lang w:val="en-GB" w:eastAsia="de-DE"/>
        </w:rPr>
        <w:t xml:space="preserve">1.4       Treatment of collateral received: SRB requirement in Article </w:t>
      </w:r>
      <w:proofErr w:type="gramStart"/>
      <w:r w:rsidRPr="00556A66">
        <w:rPr>
          <w:rFonts w:eastAsia="Calibri" w:cs="Arial"/>
          <w:b/>
          <w:bCs/>
          <w:sz w:val="20"/>
          <w:szCs w:val="20"/>
          <w:lang w:val="en-GB" w:eastAsia="de-DE"/>
        </w:rPr>
        <w:t>A(</w:t>
      </w:r>
      <w:proofErr w:type="gramEnd"/>
      <w:r w:rsidRPr="00556A66">
        <w:rPr>
          <w:rFonts w:eastAsia="Calibri" w:cs="Arial"/>
          <w:b/>
          <w:bCs/>
          <w:sz w:val="20"/>
          <w:szCs w:val="20"/>
          <w:lang w:val="en-GB" w:eastAsia="de-DE"/>
        </w:rPr>
        <w:t>3), final sentence and Article 5a(3), final sentence of the Commission proposal</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sz w:val="20"/>
          <w:szCs w:val="20"/>
          <w:lang w:val="en-GB" w:eastAsia="de-DE"/>
        </w:rPr>
        <w:t>SRB requirement in the final sentence of Article A(3)</w:t>
      </w:r>
      <w:r w:rsidRPr="00556A66">
        <w:rPr>
          <w:rFonts w:eastAsia="Calibri" w:cs="Arial"/>
          <w:sz w:val="20"/>
          <w:szCs w:val="20"/>
          <w:lang w:val="en-GB" w:eastAsia="de-DE"/>
        </w:rPr>
        <w:t>: “</w:t>
      </w:r>
      <w:r w:rsidRPr="00556A66">
        <w:rPr>
          <w:rFonts w:eastAsia="Calibri" w:cs="Arial"/>
          <w:i/>
          <w:iCs/>
          <w:sz w:val="20"/>
          <w:szCs w:val="20"/>
          <w:lang w:val="en-GB" w:eastAsia="de-DE"/>
        </w:rPr>
        <w:t>Where under the applicable accounting framework an institution recognises the variation margin received in cash from the counterparty as a payable liability, it may exclude that liability from the exposure measure provided that the conditions in points (a) to (e) are met.</w:t>
      </w:r>
      <w:r w:rsidRPr="00556A66">
        <w:rPr>
          <w:rFonts w:eastAsia="Calibri" w:cs="Arial"/>
          <w:sz w:val="20"/>
          <w:szCs w:val="20"/>
          <w:lang w:val="en-GB" w:eastAsia="de-DE"/>
        </w:rPr>
        <w:t>”</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sz w:val="20"/>
          <w:szCs w:val="20"/>
          <w:lang w:val="en-GB" w:eastAsia="de-DE"/>
        </w:rPr>
        <w:t>Final sentence in Article 5a(3) of the Commission proposal</w:t>
      </w:r>
      <w:r w:rsidRPr="00556A66">
        <w:rPr>
          <w:rFonts w:eastAsia="Calibri" w:cs="Arial"/>
          <w:sz w:val="20"/>
          <w:szCs w:val="20"/>
          <w:lang w:val="en-GB" w:eastAsia="de-DE"/>
        </w:rPr>
        <w:t>: “</w:t>
      </w:r>
      <w:r w:rsidRPr="00556A66">
        <w:rPr>
          <w:rFonts w:eastAsia="Calibri" w:cs="Arial"/>
          <w:i/>
          <w:iCs/>
          <w:sz w:val="20"/>
          <w:szCs w:val="20"/>
          <w:lang w:val="en-GB" w:eastAsia="de-DE"/>
        </w:rPr>
        <w:t>Where under the applicable accounting framework an institution recognises the variation margin received in cash from the counterparty as a payable liability, it may exclude that liability from the exposure measure provided that the conditions in points (a) to (e) are met.”</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xml:space="preserve">This regulates the treatment of </w:t>
      </w:r>
      <w:r w:rsidRPr="00556A66">
        <w:rPr>
          <w:rFonts w:eastAsia="Calibri" w:cs="Arial"/>
          <w:b/>
          <w:bCs/>
          <w:sz w:val="20"/>
          <w:szCs w:val="20"/>
          <w:lang w:val="en-GB" w:eastAsia="de-DE"/>
        </w:rPr>
        <w:t>variation margin received in cash</w:t>
      </w:r>
      <w:r w:rsidRPr="00556A66">
        <w:rPr>
          <w:rFonts w:eastAsia="Calibri" w:cs="Arial"/>
          <w:sz w:val="20"/>
          <w:szCs w:val="20"/>
          <w:lang w:val="en-GB" w:eastAsia="de-DE"/>
        </w:rPr>
        <w:t xml:space="preserve">, which has to be recognised as a liability under the accounting framework (and therefore included in field 2A1) since it is not a liability arising from derivatives and does not need to be considered in step 2 of the derivatives adjustment method (cf. SRB Guidance on field 2C1, page 9).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xml:space="preserve">This requirement is consistent with the rules for calculating the exposure for the purpose of the </w:t>
      </w:r>
      <w:proofErr w:type="gramStart"/>
      <w:r w:rsidRPr="00556A66">
        <w:rPr>
          <w:rFonts w:eastAsia="Calibri" w:cs="Arial"/>
          <w:sz w:val="20"/>
          <w:szCs w:val="20"/>
          <w:lang w:val="en-GB" w:eastAsia="de-DE"/>
        </w:rPr>
        <w:t>leverage</w:t>
      </w:r>
      <w:proofErr w:type="gramEnd"/>
      <w:r w:rsidRPr="00556A66">
        <w:rPr>
          <w:rFonts w:eastAsia="Calibri" w:cs="Arial"/>
          <w:sz w:val="20"/>
          <w:szCs w:val="20"/>
          <w:lang w:val="en-GB" w:eastAsia="de-DE"/>
        </w:rPr>
        <w:t xml:space="preserve"> ratio and, in our view, is intended to reflect prudential netting and offsetting possibilities.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color w:val="1F497D"/>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xml:space="preserve">Our understanding is that, if the above requirements are met, this variation margin received in cash does not, under the derivatives adjustment method, have to be taken into account when calculating total liabilities </w:t>
      </w:r>
      <w:proofErr w:type="gramStart"/>
      <w:r w:rsidRPr="00556A66">
        <w:rPr>
          <w:rFonts w:eastAsia="Calibri" w:cs="Arial"/>
          <w:sz w:val="20"/>
          <w:szCs w:val="20"/>
          <w:lang w:val="en-GB" w:eastAsia="de-DE"/>
        </w:rPr>
        <w:t>for the purpose of</w:t>
      </w:r>
      <w:proofErr w:type="gramEnd"/>
      <w:r w:rsidRPr="00556A66">
        <w:rPr>
          <w:rFonts w:eastAsia="Calibri" w:cs="Arial"/>
          <w:sz w:val="20"/>
          <w:szCs w:val="20"/>
          <w:lang w:val="en-GB" w:eastAsia="de-DE"/>
        </w:rPr>
        <w:t xml:space="preserve"> determining the bank levy (field 2C6).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color w:val="2E75B6"/>
          <w:sz w:val="20"/>
          <w:szCs w:val="20"/>
          <w:lang w:val="en-GB" w:eastAsia="de-DE"/>
        </w:rPr>
        <w:t>Reply</w:t>
      </w:r>
      <w:r w:rsidRPr="00556A66">
        <w:rPr>
          <w:rFonts w:eastAsia="Calibri" w:cs="Arial"/>
          <w:b/>
          <w:bCs/>
          <w:color w:val="17375E"/>
          <w:sz w:val="20"/>
          <w:szCs w:val="20"/>
          <w:lang w:val="en-GB" w:eastAsia="de-DE"/>
        </w:rPr>
        <w:t xml:space="preserve"> -</w:t>
      </w:r>
      <w:r w:rsidRPr="00556A66">
        <w:rPr>
          <w:rFonts w:eastAsia="Calibri" w:cs="Arial"/>
          <w:b/>
          <w:bCs/>
          <w:color w:val="2E75B6"/>
          <w:sz w:val="20"/>
          <w:szCs w:val="20"/>
          <w:lang w:val="en-GB" w:eastAsia="de-DE"/>
        </w:rPr>
        <w:t xml:space="preserve"> For the purpose of 2C6 and the derivatives value adjustment, only the liabilities arising (directly) from derivatives are in scope as well as variation margins that relate directly to these liabilities. However, a variation margin received (booked as a liability) and that relates to a derivative with a positive value is not taken into account and remains included in total liabilities (2A1).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color w:val="1F497D"/>
          <w:sz w:val="20"/>
          <w:szCs w:val="20"/>
          <w:lang w:val="en-GB" w:eastAsia="de-DE"/>
        </w:rPr>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sz w:val="20"/>
          <w:szCs w:val="20"/>
          <w:lang w:val="en-GB" w:eastAsia="de-DE"/>
        </w:rPr>
        <w:t xml:space="preserve">This raises the question as to the point at which total liabilities </w:t>
      </w:r>
      <w:proofErr w:type="gramStart"/>
      <w:r w:rsidRPr="00556A66">
        <w:rPr>
          <w:rFonts w:eastAsia="Calibri" w:cs="Arial"/>
          <w:b/>
          <w:bCs/>
          <w:sz w:val="20"/>
          <w:szCs w:val="20"/>
          <w:lang w:val="en-GB" w:eastAsia="de-DE"/>
        </w:rPr>
        <w:t>should be reduced</w:t>
      </w:r>
      <w:proofErr w:type="gramEnd"/>
      <w:r w:rsidRPr="00556A66">
        <w:rPr>
          <w:rFonts w:eastAsia="Calibri" w:cs="Arial"/>
          <w:b/>
          <w:bCs/>
          <w:sz w:val="20"/>
          <w:szCs w:val="20"/>
          <w:lang w:val="en-GB" w:eastAsia="de-DE"/>
        </w:rPr>
        <w:t xml:space="preserve">. Since the provision is part of the derivatives adjustment method, we assume that liabilities from derivatives </w:t>
      </w:r>
      <w:proofErr w:type="gramStart"/>
      <w:r w:rsidRPr="00556A66">
        <w:rPr>
          <w:rFonts w:eastAsia="Calibri" w:cs="Arial"/>
          <w:b/>
          <w:bCs/>
          <w:sz w:val="20"/>
          <w:szCs w:val="20"/>
          <w:lang w:val="en-GB" w:eastAsia="de-DE"/>
        </w:rPr>
        <w:t>should be deducted</w:t>
      </w:r>
      <w:proofErr w:type="gramEnd"/>
      <w:r w:rsidRPr="00556A66">
        <w:rPr>
          <w:rFonts w:eastAsia="Calibri" w:cs="Arial"/>
          <w:b/>
          <w:bCs/>
          <w:sz w:val="20"/>
          <w:szCs w:val="20"/>
          <w:lang w:val="en-GB" w:eastAsia="de-DE"/>
        </w:rPr>
        <w:t xml:space="preserve"> from total liabilities in field 2C1</w:t>
      </w:r>
      <w:r w:rsidRPr="00556A66">
        <w:rPr>
          <w:rFonts w:eastAsia="Calibri" w:cs="Arial"/>
          <w:sz w:val="20"/>
          <w:szCs w:val="20"/>
          <w:lang w:val="en-GB" w:eastAsia="de-DE"/>
        </w:rPr>
        <w:t xml:space="preserve">.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sz w:val="20"/>
          <w:szCs w:val="20"/>
          <w:lang w:val="en-GB" w:eastAsia="de-DE"/>
        </w:rPr>
        <w:lastRenderedPageBreak/>
        <w:t> </w:t>
      </w:r>
    </w:p>
    <w:p w:rsidR="00BF4BFB" w:rsidRPr="00556A66" w:rsidRDefault="00BF4BFB" w:rsidP="001D5078">
      <w:pPr>
        <w:spacing w:after="0" w:line="240" w:lineRule="auto"/>
        <w:ind w:left="720"/>
        <w:jc w:val="both"/>
        <w:rPr>
          <w:rFonts w:eastAsia="Calibri" w:cs="Arial"/>
          <w:lang w:val="en-GB" w:eastAsia="de-DE"/>
        </w:rPr>
      </w:pPr>
      <w:r w:rsidRPr="00556A66">
        <w:rPr>
          <w:rFonts w:eastAsia="Calibri" w:cs="Arial"/>
          <w:b/>
          <w:bCs/>
          <w:color w:val="2E75B6"/>
          <w:sz w:val="20"/>
          <w:szCs w:val="20"/>
          <w:lang w:val="en-GB" w:eastAsia="de-DE"/>
        </w:rPr>
        <w:t>Reply</w:t>
      </w:r>
      <w:r w:rsidRPr="00556A66">
        <w:rPr>
          <w:rFonts w:eastAsia="Calibri" w:cs="Arial"/>
          <w:b/>
          <w:bCs/>
          <w:color w:val="17375E"/>
          <w:sz w:val="20"/>
          <w:szCs w:val="20"/>
          <w:lang w:val="en-GB" w:eastAsia="de-DE"/>
        </w:rPr>
        <w:t xml:space="preserve"> -</w:t>
      </w:r>
      <w:r w:rsidRPr="00556A66">
        <w:rPr>
          <w:rFonts w:eastAsia="Calibri" w:cs="Arial"/>
          <w:b/>
          <w:bCs/>
          <w:color w:val="2E75B6"/>
          <w:sz w:val="20"/>
          <w:szCs w:val="20"/>
          <w:lang w:val="en-GB" w:eastAsia="de-DE"/>
        </w:rPr>
        <w:t xml:space="preserve"> The liabilities to </w:t>
      </w:r>
      <w:proofErr w:type="gramStart"/>
      <w:r w:rsidRPr="00556A66">
        <w:rPr>
          <w:rFonts w:eastAsia="Calibri" w:cs="Arial"/>
          <w:b/>
          <w:bCs/>
          <w:color w:val="2E75B6"/>
          <w:sz w:val="20"/>
          <w:szCs w:val="20"/>
          <w:lang w:val="en-GB" w:eastAsia="de-DE"/>
        </w:rPr>
        <w:t>be deducted</w:t>
      </w:r>
      <w:proofErr w:type="gramEnd"/>
      <w:r w:rsidRPr="00556A66">
        <w:rPr>
          <w:rFonts w:eastAsia="Calibri" w:cs="Arial"/>
          <w:b/>
          <w:bCs/>
          <w:color w:val="2E75B6"/>
          <w:sz w:val="20"/>
          <w:szCs w:val="20"/>
          <w:lang w:val="en-GB" w:eastAsia="de-DE"/>
        </w:rPr>
        <w:t xml:space="preserve"> from total liabilities in the context of the value adjustment for SRF purposes are the liabilities arising (directly) from derivative contracts. In the calculation of the ex-ante contributions, the adjusted value of 2C1 will replace the accounting value of 2C2, subject to a floor.</w:t>
      </w:r>
    </w:p>
    <w:p w:rsidR="00BF4BFB" w:rsidRPr="00556A66" w:rsidRDefault="00BF4BFB" w:rsidP="00BF4BFB">
      <w:pPr>
        <w:spacing w:after="0" w:line="240" w:lineRule="auto"/>
        <w:ind w:left="720"/>
        <w:rPr>
          <w:rFonts w:eastAsia="Calibri" w:cs="Arial"/>
          <w:lang w:val="en-GB" w:eastAsia="de-DE"/>
        </w:rPr>
      </w:pPr>
      <w:r w:rsidRPr="00556A66">
        <w:rPr>
          <w:rFonts w:eastAsia="Calibri" w:cs="Arial"/>
          <w:color w:val="17375E"/>
          <w:lang w:val="en-GB" w:eastAsia="de-DE"/>
        </w:rPr>
        <w:t> </w:t>
      </w:r>
    </w:p>
    <w:p w:rsidR="00BF4BFB" w:rsidRPr="00556A66" w:rsidRDefault="00BF4BFB" w:rsidP="00BF4BFB">
      <w:pPr>
        <w:spacing w:after="0" w:line="240" w:lineRule="auto"/>
        <w:ind w:left="720"/>
        <w:rPr>
          <w:rFonts w:eastAsia="Calibri" w:cs="Arial"/>
          <w:lang w:eastAsia="de-DE"/>
        </w:rPr>
      </w:pPr>
      <w:r w:rsidRPr="00556A66">
        <w:rPr>
          <w:rFonts w:eastAsia="Calibri" w:cs="Arial"/>
          <w:color w:val="1F497D"/>
          <w:lang w:val="en-GB" w:eastAsia="de-DE"/>
        </w:rPr>
        <w:t>+++</w:t>
      </w:r>
    </w:p>
    <w:p w:rsidR="00B658A1" w:rsidRPr="00B658A1" w:rsidRDefault="00B658A1" w:rsidP="002F0B41">
      <w:pPr>
        <w:spacing w:after="160" w:line="259" w:lineRule="auto"/>
      </w:pPr>
    </w:p>
    <w:sectPr w:rsidR="00B658A1" w:rsidRPr="00B658A1" w:rsidSect="00911634">
      <w:footerReference w:type="even" r:id="rId7"/>
      <w:footerReference w:type="default" r:id="rId8"/>
      <w:pgSz w:w="11906" w:h="16838"/>
      <w:pgMar w:top="1843"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BFB" w:rsidRDefault="00BF4BFB" w:rsidP="00724E24">
      <w:pPr>
        <w:spacing w:after="0" w:line="240" w:lineRule="auto"/>
      </w:pPr>
      <w:r>
        <w:separator/>
      </w:r>
    </w:p>
  </w:endnote>
  <w:endnote w:type="continuationSeparator" w:id="0">
    <w:p w:rsidR="00BF4BFB" w:rsidRDefault="00BF4BFB" w:rsidP="00724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351" w:rsidRDefault="00D14351">
    <w:pPr>
      <w:pStyle w:val="Fuzeile"/>
    </w:pPr>
    <w:r w:rsidRPr="00BF4BFB">
      <w:rPr>
        <w:color w:val="2E74B5"/>
        <w:sz w:val="16"/>
      </w:rPr>
      <w:t xml:space="preserve">SEITE </w:t>
    </w:r>
    <w:r w:rsidRPr="00BF4BFB">
      <w:rPr>
        <w:color w:val="2E74B5"/>
        <w:sz w:val="16"/>
      </w:rPr>
      <w:fldChar w:fldCharType="begin"/>
    </w:r>
    <w:r w:rsidRPr="00BF4BFB">
      <w:rPr>
        <w:color w:val="2E74B5"/>
        <w:sz w:val="16"/>
      </w:rPr>
      <w:instrText xml:space="preserve"> PAGE  \* Arabic  \* MERGEFORMAT </w:instrText>
    </w:r>
    <w:r w:rsidRPr="00BF4BFB">
      <w:rPr>
        <w:color w:val="2E74B5"/>
        <w:sz w:val="16"/>
      </w:rPr>
      <w:fldChar w:fldCharType="separate"/>
    </w:r>
    <w:r w:rsidR="00556A66">
      <w:rPr>
        <w:noProof/>
        <w:color w:val="2E74B5"/>
        <w:sz w:val="16"/>
      </w:rPr>
      <w:t>2</w:t>
    </w:r>
    <w:r w:rsidRPr="00BF4BFB">
      <w:rPr>
        <w:color w:val="2E74B5"/>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97" w:rsidRPr="00BF4BFB" w:rsidRDefault="003D7F97" w:rsidP="00071AB9">
    <w:pPr>
      <w:pStyle w:val="Fuzeile"/>
      <w:jc w:val="right"/>
      <w:rPr>
        <w:color w:val="2E74B5"/>
        <w:sz w:val="16"/>
      </w:rPr>
    </w:pPr>
    <w:r w:rsidRPr="00BF4BFB">
      <w:rPr>
        <w:color w:val="2E74B5"/>
        <w:sz w:val="16"/>
      </w:rPr>
      <w:t xml:space="preserve">SEITE </w:t>
    </w:r>
    <w:r w:rsidRPr="00BF4BFB">
      <w:rPr>
        <w:color w:val="2E74B5"/>
        <w:sz w:val="16"/>
      </w:rPr>
      <w:fldChar w:fldCharType="begin"/>
    </w:r>
    <w:r w:rsidRPr="00BF4BFB">
      <w:rPr>
        <w:color w:val="2E74B5"/>
        <w:sz w:val="16"/>
      </w:rPr>
      <w:instrText xml:space="preserve"> PAGE  \* Arabic  \* MERGEFORMAT </w:instrText>
    </w:r>
    <w:r w:rsidRPr="00BF4BFB">
      <w:rPr>
        <w:color w:val="2E74B5"/>
        <w:sz w:val="16"/>
      </w:rPr>
      <w:fldChar w:fldCharType="separate"/>
    </w:r>
    <w:r w:rsidR="00556A66">
      <w:rPr>
        <w:noProof/>
        <w:color w:val="2E74B5"/>
        <w:sz w:val="16"/>
      </w:rPr>
      <w:t>1</w:t>
    </w:r>
    <w:r w:rsidRPr="00BF4BFB">
      <w:rPr>
        <w:color w:val="2E74B5"/>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BFB" w:rsidRDefault="00BF4BFB" w:rsidP="00724E24">
      <w:pPr>
        <w:spacing w:after="0" w:line="240" w:lineRule="auto"/>
      </w:pPr>
      <w:r>
        <w:separator/>
      </w:r>
    </w:p>
  </w:footnote>
  <w:footnote w:type="continuationSeparator" w:id="0">
    <w:p w:rsidR="00BF4BFB" w:rsidRDefault="00BF4BFB" w:rsidP="00724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7CB9"/>
    <w:multiLevelType w:val="hybridMultilevel"/>
    <w:tmpl w:val="9DFA0F66"/>
    <w:lvl w:ilvl="0" w:tplc="002A9C14">
      <w:start w:val="1"/>
      <w:numFmt w:val="bullet"/>
      <w:pStyle w:val="AufzhlungEbene2"/>
      <w:lvlText w:val="□"/>
      <w:lvlJc w:val="left"/>
      <w:pPr>
        <w:ind w:left="1571" w:hanging="360"/>
      </w:pPr>
      <w:rPr>
        <w:rFonts w:ascii="Arial" w:hAnsi="Arial" w:hint="default"/>
        <w:b w:val="0"/>
        <w:i w:val="0"/>
        <w:color w:val="F07D00"/>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 w15:restartNumberingAfterBreak="0">
    <w:nsid w:val="33841759"/>
    <w:multiLevelType w:val="multilevel"/>
    <w:tmpl w:val="E9AC096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 w15:restartNumberingAfterBreak="0">
    <w:nsid w:val="513A7631"/>
    <w:multiLevelType w:val="hybridMultilevel"/>
    <w:tmpl w:val="F39C7214"/>
    <w:lvl w:ilvl="0" w:tplc="DE32D75C">
      <w:start w:val="1"/>
      <w:numFmt w:val="bullet"/>
      <w:pStyle w:val="AufzhlungEbene1"/>
      <w:lvlText w:val=""/>
      <w:lvlJc w:val="left"/>
      <w:pPr>
        <w:ind w:left="360" w:hanging="360"/>
      </w:pPr>
      <w:rPr>
        <w:rFonts w:ascii="Wingdings" w:hAnsi="Wingdings" w:hint="default"/>
        <w:b w:val="0"/>
        <w:i w:val="0"/>
        <w:color w:val="F07D00" w:themeColor="accent2"/>
        <w:sz w:val="24"/>
        <w:u w:color="F07D00"/>
      </w:rPr>
    </w:lvl>
    <w:lvl w:ilvl="1" w:tplc="00030407">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FB"/>
    <w:rsid w:val="00071AB9"/>
    <w:rsid w:val="00155F2A"/>
    <w:rsid w:val="00183FE5"/>
    <w:rsid w:val="001A33CA"/>
    <w:rsid w:val="001D24FC"/>
    <w:rsid w:val="001D5078"/>
    <w:rsid w:val="002B03C3"/>
    <w:rsid w:val="002F0B41"/>
    <w:rsid w:val="003D7F97"/>
    <w:rsid w:val="003E4756"/>
    <w:rsid w:val="0047457C"/>
    <w:rsid w:val="00556A66"/>
    <w:rsid w:val="006E7877"/>
    <w:rsid w:val="00724E24"/>
    <w:rsid w:val="008200AB"/>
    <w:rsid w:val="008C5C34"/>
    <w:rsid w:val="008E7765"/>
    <w:rsid w:val="00911634"/>
    <w:rsid w:val="00A37409"/>
    <w:rsid w:val="00AE1F13"/>
    <w:rsid w:val="00B326B4"/>
    <w:rsid w:val="00B658A1"/>
    <w:rsid w:val="00BF4BFB"/>
    <w:rsid w:val="00D06821"/>
    <w:rsid w:val="00D14351"/>
    <w:rsid w:val="00D23896"/>
    <w:rsid w:val="00D45676"/>
    <w:rsid w:val="00D9703C"/>
    <w:rsid w:val="00E04E66"/>
    <w:rsid w:val="00ED42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BDC209-BCEF-4E05-93F5-D5FAC26D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83FE5"/>
    <w:pPr>
      <w:spacing w:after="120" w:line="288" w:lineRule="auto"/>
    </w:pPr>
    <w:rPr>
      <w:rFonts w:ascii="Arial" w:hAnsi="Arial"/>
    </w:rPr>
  </w:style>
  <w:style w:type="paragraph" w:styleId="berschrift1">
    <w:name w:val="heading 1"/>
    <w:basedOn w:val="Standard"/>
    <w:next w:val="Standard"/>
    <w:link w:val="berschrift1Zchn"/>
    <w:uiPriority w:val="9"/>
    <w:qFormat/>
    <w:rsid w:val="00AE1F13"/>
    <w:pPr>
      <w:keepNext/>
      <w:keepLines/>
      <w:numPr>
        <w:numId w:val="3"/>
      </w:numPr>
      <w:spacing w:before="360"/>
      <w:ind w:left="851" w:hanging="851"/>
      <w:outlineLvl w:val="0"/>
    </w:pPr>
    <w:rPr>
      <w:rFonts w:eastAsiaTheme="majorEastAsia" w:cstheme="majorBidi"/>
      <w:caps/>
      <w:color w:val="F07D00" w:themeColor="accent5"/>
      <w:sz w:val="40"/>
      <w:szCs w:val="32"/>
    </w:rPr>
  </w:style>
  <w:style w:type="paragraph" w:styleId="berschrift2">
    <w:name w:val="heading 2"/>
    <w:basedOn w:val="Standard"/>
    <w:next w:val="Standard"/>
    <w:link w:val="berschrift2Zchn"/>
    <w:uiPriority w:val="9"/>
    <w:unhideWhenUsed/>
    <w:qFormat/>
    <w:rsid w:val="00AE1F13"/>
    <w:pPr>
      <w:keepNext/>
      <w:keepLines/>
      <w:numPr>
        <w:ilvl w:val="1"/>
        <w:numId w:val="3"/>
      </w:numPr>
      <w:spacing w:before="240"/>
      <w:ind w:left="851" w:hanging="851"/>
      <w:outlineLvl w:val="1"/>
    </w:pPr>
    <w:rPr>
      <w:rFonts w:eastAsiaTheme="majorEastAsia" w:cstheme="majorBidi"/>
      <w:color w:val="A5A5A5" w:themeColor="accent1"/>
      <w:sz w:val="32"/>
      <w:szCs w:val="26"/>
    </w:rPr>
  </w:style>
  <w:style w:type="paragraph" w:styleId="berschrift3">
    <w:name w:val="heading 3"/>
    <w:basedOn w:val="Standard"/>
    <w:next w:val="Standard"/>
    <w:link w:val="berschrift3Zchn"/>
    <w:uiPriority w:val="9"/>
    <w:unhideWhenUsed/>
    <w:qFormat/>
    <w:rsid w:val="00AE1F13"/>
    <w:pPr>
      <w:keepNext/>
      <w:keepLines/>
      <w:numPr>
        <w:ilvl w:val="2"/>
        <w:numId w:val="3"/>
      </w:numPr>
      <w:spacing w:before="240"/>
      <w:ind w:left="851" w:hanging="851"/>
      <w:outlineLvl w:val="2"/>
    </w:pPr>
    <w:rPr>
      <w:rFonts w:eastAsiaTheme="majorEastAsia" w:cstheme="majorBidi"/>
      <w:color w:val="A5A5A5" w:themeColor="accent1"/>
      <w:sz w:val="28"/>
      <w:szCs w:val="24"/>
    </w:rPr>
  </w:style>
  <w:style w:type="paragraph" w:styleId="berschrift4">
    <w:name w:val="heading 4"/>
    <w:basedOn w:val="Standard"/>
    <w:next w:val="Standard"/>
    <w:link w:val="berschrift4Zchn"/>
    <w:uiPriority w:val="9"/>
    <w:unhideWhenUsed/>
    <w:qFormat/>
    <w:rsid w:val="00B326B4"/>
    <w:pPr>
      <w:keepNext/>
      <w:keepLines/>
      <w:numPr>
        <w:ilvl w:val="3"/>
        <w:numId w:val="3"/>
      </w:numPr>
      <w:spacing w:before="240"/>
      <w:ind w:left="862" w:hanging="862"/>
      <w:outlineLvl w:val="3"/>
    </w:pPr>
    <w:rPr>
      <w:rFonts w:eastAsiaTheme="majorEastAsia" w:cstheme="majorBidi"/>
      <w:iCs/>
      <w:color w:val="A5A5A5" w:themeColor="accent1"/>
      <w:sz w:val="24"/>
    </w:rPr>
  </w:style>
  <w:style w:type="paragraph" w:styleId="berschrift5">
    <w:name w:val="heading 5"/>
    <w:basedOn w:val="Standard"/>
    <w:next w:val="Standard"/>
    <w:link w:val="berschrift5Zchn"/>
    <w:uiPriority w:val="9"/>
    <w:semiHidden/>
    <w:unhideWhenUsed/>
    <w:qFormat/>
    <w:rsid w:val="00B658A1"/>
    <w:pPr>
      <w:keepNext/>
      <w:keepLines/>
      <w:numPr>
        <w:ilvl w:val="4"/>
        <w:numId w:val="3"/>
      </w:numPr>
      <w:spacing w:before="40" w:after="0"/>
      <w:outlineLvl w:val="4"/>
    </w:pPr>
    <w:rPr>
      <w:rFonts w:asciiTheme="majorHAnsi" w:eastAsiaTheme="majorEastAsia" w:hAnsiTheme="majorHAnsi" w:cstheme="majorBidi"/>
      <w:color w:val="7B7B7B" w:themeColor="accent1" w:themeShade="BF"/>
    </w:rPr>
  </w:style>
  <w:style w:type="paragraph" w:styleId="berschrift6">
    <w:name w:val="heading 6"/>
    <w:basedOn w:val="Standard"/>
    <w:next w:val="Standard"/>
    <w:link w:val="berschrift6Zchn"/>
    <w:uiPriority w:val="9"/>
    <w:semiHidden/>
    <w:unhideWhenUsed/>
    <w:qFormat/>
    <w:rsid w:val="00B658A1"/>
    <w:pPr>
      <w:keepNext/>
      <w:keepLines/>
      <w:numPr>
        <w:ilvl w:val="5"/>
        <w:numId w:val="3"/>
      </w:numPr>
      <w:spacing w:before="40" w:after="0"/>
      <w:outlineLvl w:val="5"/>
    </w:pPr>
    <w:rPr>
      <w:rFonts w:asciiTheme="majorHAnsi" w:eastAsiaTheme="majorEastAsia" w:hAnsiTheme="majorHAnsi" w:cstheme="majorBidi"/>
      <w:color w:val="525252" w:themeColor="accent1" w:themeShade="7F"/>
    </w:rPr>
  </w:style>
  <w:style w:type="paragraph" w:styleId="berschrift7">
    <w:name w:val="heading 7"/>
    <w:basedOn w:val="Standard"/>
    <w:next w:val="Standard"/>
    <w:link w:val="berschrift7Zchn"/>
    <w:uiPriority w:val="9"/>
    <w:semiHidden/>
    <w:unhideWhenUsed/>
    <w:qFormat/>
    <w:rsid w:val="00B658A1"/>
    <w:pPr>
      <w:keepNext/>
      <w:keepLines/>
      <w:numPr>
        <w:ilvl w:val="6"/>
        <w:numId w:val="3"/>
      </w:numPr>
      <w:spacing w:before="40" w:after="0"/>
      <w:outlineLvl w:val="6"/>
    </w:pPr>
    <w:rPr>
      <w:rFonts w:asciiTheme="majorHAnsi" w:eastAsiaTheme="majorEastAsia" w:hAnsiTheme="majorHAnsi" w:cstheme="majorBidi"/>
      <w:i/>
      <w:iCs/>
      <w:color w:val="525252" w:themeColor="accent1" w:themeShade="7F"/>
    </w:rPr>
  </w:style>
  <w:style w:type="paragraph" w:styleId="berschrift8">
    <w:name w:val="heading 8"/>
    <w:basedOn w:val="Standard"/>
    <w:next w:val="Standard"/>
    <w:link w:val="berschrift8Zchn"/>
    <w:uiPriority w:val="9"/>
    <w:semiHidden/>
    <w:unhideWhenUsed/>
    <w:qFormat/>
    <w:rsid w:val="00B658A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B658A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183FE5"/>
    <w:pPr>
      <w:spacing w:after="0" w:line="288" w:lineRule="auto"/>
    </w:pPr>
    <w:rPr>
      <w:rFonts w:ascii="Arial" w:hAnsi="Arial"/>
    </w:rPr>
  </w:style>
  <w:style w:type="paragraph" w:customStyle="1" w:styleId="AufzhlungEbene1">
    <w:name w:val="Aufzählung Ebene 1"/>
    <w:basedOn w:val="Standard"/>
    <w:link w:val="AufzhlungEbene1Zchn"/>
    <w:autoRedefine/>
    <w:qFormat/>
    <w:rsid w:val="00B658A1"/>
    <w:pPr>
      <w:numPr>
        <w:numId w:val="1"/>
      </w:numPr>
      <w:spacing w:after="0"/>
    </w:pPr>
    <w:rPr>
      <w:rFonts w:eastAsiaTheme="minorEastAsia" w:cs="Times New Roman"/>
      <w:color w:val="000000"/>
      <w:lang w:val="de-AT" w:eastAsia="de-AT"/>
    </w:rPr>
  </w:style>
  <w:style w:type="character" w:customStyle="1" w:styleId="AufzhlungEbene1Zchn">
    <w:name w:val="Aufzählung Ebene 1 Zchn"/>
    <w:basedOn w:val="Absatz-Standardschriftart"/>
    <w:link w:val="AufzhlungEbene1"/>
    <w:rsid w:val="00B658A1"/>
    <w:rPr>
      <w:rFonts w:ascii="Arial" w:eastAsiaTheme="minorEastAsia" w:hAnsi="Arial" w:cs="Times New Roman"/>
      <w:color w:val="000000"/>
      <w:lang w:val="de-AT" w:eastAsia="de-AT"/>
    </w:rPr>
  </w:style>
  <w:style w:type="paragraph" w:customStyle="1" w:styleId="AufzhlungEbene2">
    <w:name w:val="Aufzählung Ebene 2"/>
    <w:basedOn w:val="Standard"/>
    <w:link w:val="AufzhlungEbene2Zchn"/>
    <w:qFormat/>
    <w:rsid w:val="00B658A1"/>
    <w:pPr>
      <w:numPr>
        <w:numId w:val="2"/>
      </w:numPr>
      <w:spacing w:before="60" w:after="60"/>
      <w:ind w:left="714" w:hanging="357"/>
      <w:jc w:val="both"/>
    </w:pPr>
    <w:rPr>
      <w:rFonts w:cs="Arial"/>
      <w:lang w:eastAsia="de-DE"/>
    </w:rPr>
  </w:style>
  <w:style w:type="character" w:customStyle="1" w:styleId="AufzhlungEbene2Zchn">
    <w:name w:val="Aufzählung Ebene 2 Zchn"/>
    <w:basedOn w:val="Absatz-Standardschriftart"/>
    <w:link w:val="AufzhlungEbene2"/>
    <w:rsid w:val="00B658A1"/>
    <w:rPr>
      <w:rFonts w:ascii="Arial" w:hAnsi="Arial" w:cs="Arial"/>
      <w:lang w:eastAsia="de-DE"/>
    </w:rPr>
  </w:style>
  <w:style w:type="paragraph" w:customStyle="1" w:styleId="1ohneNummerierung">
    <w:name w:val="Ü1_ohne Nummerierung"/>
    <w:basedOn w:val="Standard"/>
    <w:link w:val="1ohneNummerierungZchn"/>
    <w:qFormat/>
    <w:rsid w:val="00B658A1"/>
    <w:pPr>
      <w:spacing w:before="720" w:after="240"/>
      <w:outlineLvl w:val="0"/>
    </w:pPr>
    <w:rPr>
      <w:rFonts w:eastAsia="Times New Roman" w:cs="Times New Roman"/>
      <w:bCs/>
      <w:caps/>
      <w:color w:val="A5A5A5"/>
      <w:sz w:val="40"/>
      <w:lang w:val="de-AT" w:eastAsia="de-AT"/>
    </w:rPr>
  </w:style>
  <w:style w:type="character" w:customStyle="1" w:styleId="1ohneNummerierungZchn">
    <w:name w:val="Ü1_ohne Nummerierung Zchn"/>
    <w:basedOn w:val="Absatz-Standardschriftart"/>
    <w:link w:val="1ohneNummerierung"/>
    <w:rsid w:val="00B658A1"/>
    <w:rPr>
      <w:rFonts w:ascii="Arial" w:eastAsia="Times New Roman" w:hAnsi="Arial" w:cs="Times New Roman"/>
      <w:bCs/>
      <w:caps/>
      <w:color w:val="A5A5A5"/>
      <w:sz w:val="40"/>
      <w:lang w:val="de-AT" w:eastAsia="de-AT"/>
    </w:rPr>
  </w:style>
  <w:style w:type="paragraph" w:customStyle="1" w:styleId="berschrift1ohneNum">
    <w:name w:val="Überschrift1 ohne Num"/>
    <w:basedOn w:val="Standard"/>
    <w:link w:val="berschrift1ohneNumZchn"/>
    <w:rsid w:val="00B658A1"/>
    <w:pPr>
      <w:keepNext/>
      <w:spacing w:before="480" w:after="240"/>
      <w:ind w:left="720" w:hanging="720"/>
      <w:outlineLvl w:val="0"/>
    </w:pPr>
    <w:rPr>
      <w:rFonts w:eastAsia="Times New Roman" w:cs="Times New Roman"/>
      <w:caps/>
      <w:color w:val="A5A5A5" w:themeColor="accent1"/>
      <w:sz w:val="40"/>
      <w:szCs w:val="20"/>
      <w:lang w:eastAsia="de-DE"/>
    </w:rPr>
  </w:style>
  <w:style w:type="character" w:customStyle="1" w:styleId="berschrift1ohneNumZchn">
    <w:name w:val="Überschrift1 ohne Num Zchn"/>
    <w:basedOn w:val="Absatz-Standardschriftart"/>
    <w:link w:val="berschrift1ohneNum"/>
    <w:rsid w:val="00B658A1"/>
    <w:rPr>
      <w:rFonts w:ascii="Arial" w:eastAsia="Times New Roman" w:hAnsi="Arial" w:cs="Times New Roman"/>
      <w:caps/>
      <w:color w:val="A5A5A5" w:themeColor="accent1"/>
      <w:sz w:val="40"/>
      <w:szCs w:val="20"/>
      <w:lang w:eastAsia="de-DE"/>
    </w:rPr>
  </w:style>
  <w:style w:type="character" w:customStyle="1" w:styleId="berschrift1Zchn">
    <w:name w:val="Überschrift 1 Zchn"/>
    <w:basedOn w:val="Absatz-Standardschriftart"/>
    <w:link w:val="berschrift1"/>
    <w:uiPriority w:val="9"/>
    <w:rsid w:val="00AE1F13"/>
    <w:rPr>
      <w:rFonts w:ascii="Arial" w:eastAsiaTheme="majorEastAsia" w:hAnsi="Arial" w:cstheme="majorBidi"/>
      <w:caps/>
      <w:color w:val="F07D00" w:themeColor="accent5"/>
      <w:sz w:val="40"/>
      <w:szCs w:val="32"/>
    </w:rPr>
  </w:style>
  <w:style w:type="character" w:customStyle="1" w:styleId="berschrift2Zchn">
    <w:name w:val="Überschrift 2 Zchn"/>
    <w:basedOn w:val="Absatz-Standardschriftart"/>
    <w:link w:val="berschrift2"/>
    <w:uiPriority w:val="9"/>
    <w:rsid w:val="00AE1F13"/>
    <w:rPr>
      <w:rFonts w:ascii="Arial" w:eastAsiaTheme="majorEastAsia" w:hAnsi="Arial" w:cstheme="majorBidi"/>
      <w:color w:val="A5A5A5" w:themeColor="accent1"/>
      <w:sz w:val="32"/>
      <w:szCs w:val="26"/>
    </w:rPr>
  </w:style>
  <w:style w:type="character" w:customStyle="1" w:styleId="berschrift3Zchn">
    <w:name w:val="Überschrift 3 Zchn"/>
    <w:basedOn w:val="Absatz-Standardschriftart"/>
    <w:link w:val="berschrift3"/>
    <w:uiPriority w:val="9"/>
    <w:rsid w:val="00AE1F13"/>
    <w:rPr>
      <w:rFonts w:ascii="Arial" w:eastAsiaTheme="majorEastAsia" w:hAnsi="Arial" w:cstheme="majorBidi"/>
      <w:color w:val="A5A5A5" w:themeColor="accent1"/>
      <w:sz w:val="28"/>
      <w:szCs w:val="24"/>
    </w:rPr>
  </w:style>
  <w:style w:type="character" w:customStyle="1" w:styleId="berschrift4Zchn">
    <w:name w:val="Überschrift 4 Zchn"/>
    <w:basedOn w:val="Absatz-Standardschriftart"/>
    <w:link w:val="berschrift4"/>
    <w:uiPriority w:val="9"/>
    <w:rsid w:val="00B326B4"/>
    <w:rPr>
      <w:rFonts w:ascii="Arial" w:eastAsiaTheme="majorEastAsia" w:hAnsi="Arial" w:cstheme="majorBidi"/>
      <w:iCs/>
      <w:color w:val="A5A5A5" w:themeColor="accent1"/>
      <w:sz w:val="24"/>
    </w:rPr>
  </w:style>
  <w:style w:type="character" w:customStyle="1" w:styleId="berschrift5Zchn">
    <w:name w:val="Überschrift 5 Zchn"/>
    <w:basedOn w:val="Absatz-Standardschriftart"/>
    <w:link w:val="berschrift5"/>
    <w:uiPriority w:val="9"/>
    <w:semiHidden/>
    <w:rsid w:val="00B658A1"/>
    <w:rPr>
      <w:rFonts w:asciiTheme="majorHAnsi" w:eastAsiaTheme="majorEastAsia" w:hAnsiTheme="majorHAnsi" w:cstheme="majorBidi"/>
      <w:color w:val="7B7B7B" w:themeColor="accent1" w:themeShade="BF"/>
    </w:rPr>
  </w:style>
  <w:style w:type="character" w:customStyle="1" w:styleId="berschrift6Zchn">
    <w:name w:val="Überschrift 6 Zchn"/>
    <w:basedOn w:val="Absatz-Standardschriftart"/>
    <w:link w:val="berschrift6"/>
    <w:uiPriority w:val="9"/>
    <w:semiHidden/>
    <w:rsid w:val="00B658A1"/>
    <w:rPr>
      <w:rFonts w:asciiTheme="majorHAnsi" w:eastAsiaTheme="majorEastAsia" w:hAnsiTheme="majorHAnsi" w:cstheme="majorBidi"/>
      <w:color w:val="525252" w:themeColor="accent1" w:themeShade="7F"/>
    </w:rPr>
  </w:style>
  <w:style w:type="character" w:customStyle="1" w:styleId="berschrift7Zchn">
    <w:name w:val="Überschrift 7 Zchn"/>
    <w:basedOn w:val="Absatz-Standardschriftart"/>
    <w:link w:val="berschrift7"/>
    <w:uiPriority w:val="9"/>
    <w:semiHidden/>
    <w:rsid w:val="00B658A1"/>
    <w:rPr>
      <w:rFonts w:asciiTheme="majorHAnsi" w:eastAsiaTheme="majorEastAsia" w:hAnsiTheme="majorHAnsi" w:cstheme="majorBidi"/>
      <w:i/>
      <w:iCs/>
      <w:color w:val="525252" w:themeColor="accent1" w:themeShade="7F"/>
    </w:rPr>
  </w:style>
  <w:style w:type="character" w:customStyle="1" w:styleId="berschrift8Zchn">
    <w:name w:val="Überschrift 8 Zchn"/>
    <w:basedOn w:val="Absatz-Standardschriftart"/>
    <w:link w:val="berschrift8"/>
    <w:uiPriority w:val="9"/>
    <w:semiHidden/>
    <w:rsid w:val="00B658A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B658A1"/>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B658A1"/>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B658A1"/>
    <w:rPr>
      <w:rFonts w:ascii="Arial" w:eastAsiaTheme="minorEastAsia" w:hAnsi="Arial"/>
      <w:color w:val="5A5A5A" w:themeColor="text1" w:themeTint="A5"/>
      <w:spacing w:val="15"/>
    </w:rPr>
  </w:style>
  <w:style w:type="character" w:styleId="SchwacheHervorhebung">
    <w:name w:val="Subtle Emphasis"/>
    <w:basedOn w:val="Absatz-Standardschriftart"/>
    <w:uiPriority w:val="19"/>
    <w:qFormat/>
    <w:rsid w:val="00B326B4"/>
    <w:rPr>
      <w:rFonts w:ascii="Arial" w:hAnsi="Arial"/>
      <w:i/>
      <w:iCs/>
      <w:color w:val="404040" w:themeColor="text1" w:themeTint="BF"/>
    </w:rPr>
  </w:style>
  <w:style w:type="paragraph" w:styleId="Kopfzeile">
    <w:name w:val="header"/>
    <w:basedOn w:val="Standard"/>
    <w:link w:val="KopfzeileZchn"/>
    <w:uiPriority w:val="99"/>
    <w:unhideWhenUsed/>
    <w:rsid w:val="00724E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24E24"/>
    <w:rPr>
      <w:rFonts w:ascii="Arial" w:hAnsi="Arial"/>
    </w:rPr>
  </w:style>
  <w:style w:type="paragraph" w:styleId="Fuzeile">
    <w:name w:val="footer"/>
    <w:basedOn w:val="Standard"/>
    <w:link w:val="FuzeileZchn"/>
    <w:uiPriority w:val="99"/>
    <w:unhideWhenUsed/>
    <w:rsid w:val="00724E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24E2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86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FMA CD">
      <a:dk1>
        <a:srgbClr val="000000"/>
      </a:dk1>
      <a:lt1>
        <a:srgbClr val="FFFFFF"/>
      </a:lt1>
      <a:dk2>
        <a:srgbClr val="000000"/>
      </a:dk2>
      <a:lt2>
        <a:srgbClr val="EDEDED"/>
      </a:lt2>
      <a:accent1>
        <a:srgbClr val="A5A5A5"/>
      </a:accent1>
      <a:accent2>
        <a:srgbClr val="F07D00"/>
      </a:accent2>
      <a:accent3>
        <a:srgbClr val="FFFFFF"/>
      </a:accent3>
      <a:accent4>
        <a:srgbClr val="000000"/>
      </a:accent4>
      <a:accent5>
        <a:srgbClr val="F07D00"/>
      </a:accent5>
      <a:accent6>
        <a:srgbClr val="EDEDED"/>
      </a:accent6>
      <a:hlink>
        <a:srgbClr val="A5A5A5"/>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6572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FMA</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Mitterer Florian</dc:creator>
  <cp:keywords/>
  <dc:description/>
  <cp:lastModifiedBy>Mitterer Florian</cp:lastModifiedBy>
  <cp:revision>3</cp:revision>
  <dcterms:created xsi:type="dcterms:W3CDTF">2022-12-19T07:27:00Z</dcterms:created>
  <dcterms:modified xsi:type="dcterms:W3CDTF">2022-12-19T07:41:00Z</dcterms:modified>
</cp:coreProperties>
</file>