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1DE11" w14:textId="55DB6FD2" w:rsidR="009C221C" w:rsidRPr="00F37843" w:rsidRDefault="00FB066E" w:rsidP="00FB066E">
      <w:pPr>
        <w:pStyle w:val="Default"/>
        <w:spacing w:before="120" w:after="120"/>
        <w:jc w:val="right"/>
      </w:pPr>
      <w:r w:rsidRPr="00F37843">
        <w:rPr>
          <w:b/>
          <w:color w:val="FFC000"/>
        </w:rPr>
        <w:t>SRB-GELB</w:t>
      </w:r>
    </w:p>
    <w:p w14:paraId="0B780EFA" w14:textId="152B7FC6" w:rsidR="00AA7711" w:rsidRPr="00F37843" w:rsidRDefault="00784B15" w:rsidP="001921D2">
      <w:pPr>
        <w:tabs>
          <w:tab w:val="left" w:pos="8222"/>
        </w:tabs>
        <w:spacing w:before="120" w:after="120"/>
        <w:rPr>
          <w:rFonts w:ascii="Arial" w:hAnsi="Arial" w:cs="Arial"/>
          <w:color w:val="FFC000"/>
        </w:rPr>
      </w:pPr>
      <w:r w:rsidRPr="00F37843">
        <w:rPr>
          <w:rFonts w:ascii="Arial" w:hAnsi="Arial"/>
        </w:rPr>
        <w:tab/>
      </w:r>
    </w:p>
    <w:p w14:paraId="7542E884" w14:textId="7C1A672D" w:rsidR="00D80FF4" w:rsidRPr="00F37843" w:rsidRDefault="00D80FF4" w:rsidP="001921D2">
      <w:pPr>
        <w:spacing w:before="120" w:after="120"/>
        <w:rPr>
          <w:rFonts w:ascii="Arial" w:hAnsi="Arial" w:cs="Arial"/>
        </w:rPr>
      </w:pPr>
    </w:p>
    <w:p w14:paraId="1BF5311F" w14:textId="77777777" w:rsidR="00CB5D8D" w:rsidRPr="00F37843" w:rsidRDefault="00CB5D8D" w:rsidP="001921D2">
      <w:pPr>
        <w:spacing w:before="120" w:after="120"/>
        <w:rPr>
          <w:rFonts w:ascii="Arial" w:hAnsi="Arial" w:cs="Arial"/>
        </w:rPr>
      </w:pPr>
    </w:p>
    <w:p w14:paraId="3C46D004" w14:textId="77777777" w:rsidR="00806E9C" w:rsidRPr="00F37843" w:rsidRDefault="00806E9C" w:rsidP="001921D2">
      <w:pPr>
        <w:pStyle w:val="Heading1"/>
        <w:spacing w:before="120" w:after="120"/>
        <w:rPr>
          <w:rFonts w:ascii="Arial" w:hAnsi="Arial" w:cs="Arial"/>
        </w:rPr>
      </w:pPr>
    </w:p>
    <w:p w14:paraId="407CFB16" w14:textId="5E5DABDF" w:rsidR="00437EBC" w:rsidRPr="00F37843" w:rsidRDefault="00437EBC" w:rsidP="001921D2">
      <w:pPr>
        <w:pStyle w:val="Heading1"/>
        <w:spacing w:before="120" w:after="120"/>
        <w:rPr>
          <w:rFonts w:ascii="Arial" w:hAnsi="Arial" w:cs="Arial"/>
        </w:rPr>
      </w:pPr>
      <w:r w:rsidRPr="00F37843">
        <w:rPr>
          <w:rFonts w:ascii="Arial" w:hAnsi="Arial"/>
        </w:rPr>
        <w:t>BESCHLUSS DES EINHEITLICHEN ABWICKLUNGSAUSSCHUSSES</w:t>
      </w:r>
    </w:p>
    <w:p w14:paraId="4FE49F8A" w14:textId="77777777" w:rsidR="00437EBC" w:rsidRPr="00F37843" w:rsidRDefault="00437EBC" w:rsidP="001921D2">
      <w:pPr>
        <w:spacing w:before="120" w:after="120"/>
        <w:rPr>
          <w:rFonts w:ascii="Arial" w:hAnsi="Arial" w:cs="Arial"/>
        </w:rPr>
      </w:pPr>
    </w:p>
    <w:tbl>
      <w:tblPr>
        <w:tblStyle w:val="TableGrid"/>
        <w:tblW w:w="9781" w:type="dxa"/>
        <w:tblBorders>
          <w:top w:val="single" w:sz="12" w:space="0" w:color="5E93DB"/>
          <w:left w:val="none" w:sz="0" w:space="0" w:color="auto"/>
          <w:bottom w:val="single" w:sz="12" w:space="0" w:color="5E93DB"/>
          <w:right w:val="none" w:sz="0" w:space="0" w:color="auto"/>
          <w:insideH w:val="single" w:sz="4" w:space="0" w:color="5E93DB"/>
          <w:insideV w:val="single" w:sz="24" w:space="0" w:color="FFFFFF" w:themeColor="background1"/>
        </w:tblBorders>
        <w:tblCellMar>
          <w:top w:w="369" w:type="dxa"/>
          <w:left w:w="0" w:type="dxa"/>
          <w:bottom w:w="369" w:type="dxa"/>
        </w:tblCellMar>
        <w:tblLook w:val="04A0" w:firstRow="1" w:lastRow="0" w:firstColumn="1" w:lastColumn="0" w:noHBand="0" w:noVBand="1"/>
      </w:tblPr>
      <w:tblGrid>
        <w:gridCol w:w="2977"/>
        <w:gridCol w:w="6804"/>
      </w:tblGrid>
      <w:tr w:rsidR="009F4366" w:rsidRPr="00F37843" w14:paraId="4E04B591" w14:textId="77777777" w:rsidTr="009C221C">
        <w:tc>
          <w:tcPr>
            <w:tcW w:w="2977" w:type="dxa"/>
            <w:tcMar>
              <w:top w:w="85" w:type="dxa"/>
              <w:bottom w:w="85" w:type="dxa"/>
            </w:tcMar>
            <w:vAlign w:val="center"/>
          </w:tcPr>
          <w:p w14:paraId="0505480F" w14:textId="66CA0E9D" w:rsidR="009F4366" w:rsidRPr="00F37843" w:rsidRDefault="00437EBC" w:rsidP="00CB5D8D">
            <w:pPr>
              <w:spacing w:line="240" w:lineRule="auto"/>
              <w:rPr>
                <w:rFonts w:ascii="Arial" w:hAnsi="Arial" w:cs="Arial"/>
                <w:sz w:val="20"/>
                <w:szCs w:val="20"/>
              </w:rPr>
            </w:pPr>
            <w:r w:rsidRPr="00F37843">
              <w:rPr>
                <w:rFonts w:ascii="Arial" w:hAnsi="Arial"/>
                <w:sz w:val="20"/>
              </w:rPr>
              <w:t>Datum</w:t>
            </w:r>
          </w:p>
        </w:tc>
        <w:tc>
          <w:tcPr>
            <w:tcW w:w="6804" w:type="dxa"/>
            <w:tcMar>
              <w:top w:w="85" w:type="dxa"/>
              <w:bottom w:w="85" w:type="dxa"/>
            </w:tcMar>
            <w:vAlign w:val="center"/>
          </w:tcPr>
          <w:p w14:paraId="36AA1934" w14:textId="11D3E6EC" w:rsidR="009F4366" w:rsidRPr="00F37843" w:rsidRDefault="00590D61" w:rsidP="00CB5D8D">
            <w:pPr>
              <w:spacing w:line="240" w:lineRule="auto"/>
              <w:rPr>
                <w:rFonts w:ascii="Arial" w:hAnsi="Arial" w:cs="Arial"/>
                <w:sz w:val="20"/>
                <w:szCs w:val="20"/>
              </w:rPr>
            </w:pPr>
            <w:r w:rsidRPr="00F37843">
              <w:rPr>
                <w:rFonts w:ascii="Arial" w:hAnsi="Arial"/>
                <w:sz w:val="20"/>
              </w:rPr>
              <w:t>9.9.2026</w:t>
            </w:r>
          </w:p>
        </w:tc>
      </w:tr>
      <w:tr w:rsidR="009F4366" w:rsidRPr="00F37843" w14:paraId="15A09C28" w14:textId="77777777" w:rsidTr="009C221C">
        <w:tc>
          <w:tcPr>
            <w:tcW w:w="2977" w:type="dxa"/>
            <w:tcBorders>
              <w:bottom w:val="single" w:sz="4" w:space="0" w:color="5E93DB"/>
            </w:tcBorders>
            <w:tcMar>
              <w:top w:w="85" w:type="dxa"/>
              <w:bottom w:w="85" w:type="dxa"/>
            </w:tcMar>
            <w:vAlign w:val="center"/>
          </w:tcPr>
          <w:p w14:paraId="34CA0621" w14:textId="12DD57AC" w:rsidR="009F4366" w:rsidRPr="00F37843" w:rsidRDefault="00437EBC" w:rsidP="00CB5D8D">
            <w:pPr>
              <w:spacing w:line="240" w:lineRule="auto"/>
              <w:rPr>
                <w:rFonts w:ascii="Arial" w:hAnsi="Arial" w:cs="Arial"/>
                <w:sz w:val="20"/>
                <w:szCs w:val="20"/>
              </w:rPr>
            </w:pPr>
            <w:r w:rsidRPr="00F37843">
              <w:rPr>
                <w:rFonts w:ascii="Arial" w:hAnsi="Arial"/>
                <w:sz w:val="20"/>
              </w:rPr>
              <w:t>Bezeichnung</w:t>
            </w:r>
          </w:p>
        </w:tc>
        <w:tc>
          <w:tcPr>
            <w:tcW w:w="6804" w:type="dxa"/>
            <w:tcBorders>
              <w:bottom w:val="single" w:sz="4" w:space="0" w:color="5E93DB"/>
            </w:tcBorders>
            <w:tcMar>
              <w:top w:w="85" w:type="dxa"/>
              <w:bottom w:w="85" w:type="dxa"/>
            </w:tcMar>
            <w:vAlign w:val="center"/>
          </w:tcPr>
          <w:p w14:paraId="4559EA76" w14:textId="48C8259D" w:rsidR="009F4366" w:rsidRPr="00F37843" w:rsidRDefault="00313C5A" w:rsidP="00CB5D8D">
            <w:pPr>
              <w:spacing w:line="240" w:lineRule="auto"/>
              <w:jc w:val="both"/>
              <w:rPr>
                <w:rFonts w:ascii="Arial" w:hAnsi="Arial" w:cs="Arial"/>
                <w:b/>
                <w:sz w:val="20"/>
                <w:szCs w:val="20"/>
              </w:rPr>
            </w:pPr>
            <w:r w:rsidRPr="00F37843">
              <w:rPr>
                <w:rFonts w:ascii="Arial" w:hAnsi="Arial"/>
                <w:b/>
                <w:sz w:val="20"/>
              </w:rPr>
              <w:t>Datenformate, Darstellungsformen, dazugehörige Anforderungen bezüglich einer zusätzlichen Zusicherung und Hinweise für Institute bei der Übermittlung von Informationen, die für die Berechnung der im Voraus erhobenen Beiträge zum einheitlichen Abwicklungsfonds für 2027 erforderlich sind</w:t>
            </w:r>
          </w:p>
        </w:tc>
      </w:tr>
      <w:tr w:rsidR="009F4366" w:rsidRPr="00F37843" w14:paraId="043342AD" w14:textId="77777777" w:rsidTr="009C221C">
        <w:tc>
          <w:tcPr>
            <w:tcW w:w="2977" w:type="dxa"/>
            <w:tcBorders>
              <w:top w:val="single" w:sz="4" w:space="0" w:color="5E93DB"/>
              <w:bottom w:val="single" w:sz="18" w:space="0" w:color="005EB8" w:themeColor="accent6"/>
            </w:tcBorders>
            <w:tcMar>
              <w:top w:w="85" w:type="dxa"/>
              <w:bottom w:w="85" w:type="dxa"/>
            </w:tcMar>
            <w:vAlign w:val="center"/>
          </w:tcPr>
          <w:p w14:paraId="63B4023F" w14:textId="6EC4E5A8" w:rsidR="009F4366" w:rsidRPr="00F37843" w:rsidRDefault="00437EBC" w:rsidP="00CB5D8D">
            <w:pPr>
              <w:spacing w:line="240" w:lineRule="auto"/>
              <w:rPr>
                <w:rFonts w:ascii="Arial" w:hAnsi="Arial" w:cs="Arial"/>
                <w:sz w:val="20"/>
                <w:szCs w:val="20"/>
              </w:rPr>
            </w:pPr>
            <w:r w:rsidRPr="00F37843">
              <w:rPr>
                <w:rFonts w:ascii="Arial" w:hAnsi="Arial"/>
                <w:sz w:val="20"/>
              </w:rPr>
              <w:t>Referenz</w:t>
            </w:r>
          </w:p>
        </w:tc>
        <w:tc>
          <w:tcPr>
            <w:tcW w:w="6804" w:type="dxa"/>
            <w:tcBorders>
              <w:top w:val="single" w:sz="4" w:space="0" w:color="5E93DB"/>
              <w:bottom w:val="single" w:sz="18" w:space="0" w:color="005EB8" w:themeColor="accent6"/>
            </w:tcBorders>
            <w:tcMar>
              <w:top w:w="85" w:type="dxa"/>
              <w:bottom w:w="85" w:type="dxa"/>
            </w:tcMar>
            <w:vAlign w:val="center"/>
          </w:tcPr>
          <w:p w14:paraId="682E2248" w14:textId="4A976905" w:rsidR="00F938FF" w:rsidRPr="00F37843" w:rsidRDefault="000A7CFB" w:rsidP="00CB5D8D">
            <w:pPr>
              <w:rPr>
                <w:rFonts w:ascii="Arial" w:hAnsi="Arial" w:cs="Arial"/>
                <w:b/>
                <w:bCs/>
                <w:sz w:val="20"/>
                <w:szCs w:val="20"/>
              </w:rPr>
            </w:pPr>
            <w:r w:rsidRPr="00F37843">
              <w:rPr>
                <w:rFonts w:ascii="Arial" w:hAnsi="Arial"/>
                <w:b/>
                <w:sz w:val="20"/>
              </w:rPr>
              <w:t>(SRB/ES/2026/41)</w:t>
            </w:r>
          </w:p>
          <w:p w14:paraId="0BC7186F" w14:textId="3418D832" w:rsidR="009F4366" w:rsidRPr="00F37843" w:rsidRDefault="00F938FF" w:rsidP="00CB5D8D">
            <w:pPr>
              <w:rPr>
                <w:rFonts w:ascii="Arial" w:hAnsi="Arial" w:cs="Arial"/>
                <w:b/>
                <w:bCs/>
                <w:sz w:val="20"/>
                <w:szCs w:val="20"/>
              </w:rPr>
            </w:pPr>
            <w:r w:rsidRPr="00F37843">
              <w:rPr>
                <w:rFonts w:ascii="Arial" w:hAnsi="Arial"/>
                <w:b/>
                <w:sz w:val="20"/>
              </w:rPr>
              <w:t xml:space="preserve">(Nur der englische Text ist verbindlich) </w:t>
            </w:r>
          </w:p>
        </w:tc>
      </w:tr>
    </w:tbl>
    <w:p w14:paraId="679B3814" w14:textId="654ED526" w:rsidR="00D80FF4" w:rsidRPr="00F37843" w:rsidRDefault="00D80FF4" w:rsidP="001921D2">
      <w:pPr>
        <w:spacing w:before="120" w:after="120"/>
        <w:rPr>
          <w:rFonts w:ascii="Arial" w:hAnsi="Arial" w:cs="Arial"/>
        </w:rPr>
      </w:pPr>
    </w:p>
    <w:p w14:paraId="3B38D4A7" w14:textId="20EFCC50" w:rsidR="00437EBC" w:rsidRPr="00F37843" w:rsidRDefault="001A368C" w:rsidP="001921D2">
      <w:pPr>
        <w:pStyle w:val="Heading2"/>
        <w:spacing w:before="120" w:after="120"/>
        <w:rPr>
          <w:rFonts w:ascii="Arial" w:hAnsi="Arial" w:cs="Arial"/>
        </w:rPr>
      </w:pPr>
      <w:r w:rsidRPr="00F37843">
        <w:rPr>
          <w:rFonts w:ascii="Arial" w:hAnsi="Arial"/>
        </w:rPr>
        <w:t>DER EINHEITLICHE ABWICKLUNGSAUSSCHUSS –</w:t>
      </w:r>
    </w:p>
    <w:p w14:paraId="5BEDD9E1" w14:textId="77777777" w:rsidR="00CB5D8D" w:rsidRPr="00F37843" w:rsidRDefault="00CB5D8D" w:rsidP="001921D2">
      <w:pPr>
        <w:spacing w:before="120" w:after="120" w:line="259" w:lineRule="auto"/>
        <w:jc w:val="both"/>
        <w:rPr>
          <w:rFonts w:ascii="Arial" w:hAnsi="Arial" w:cs="Arial"/>
          <w:sz w:val="20"/>
          <w:szCs w:val="20"/>
        </w:rPr>
      </w:pPr>
    </w:p>
    <w:p w14:paraId="0365B494" w14:textId="382AC5AA" w:rsidR="001A368C" w:rsidRPr="00F37843" w:rsidRDefault="001A368C" w:rsidP="007D007C">
      <w:pPr>
        <w:spacing w:before="240" w:after="240" w:line="259" w:lineRule="auto"/>
        <w:jc w:val="both"/>
        <w:rPr>
          <w:rFonts w:ascii="Arial" w:hAnsi="Arial" w:cs="Arial"/>
          <w:sz w:val="20"/>
          <w:szCs w:val="20"/>
        </w:rPr>
      </w:pPr>
      <w:r w:rsidRPr="00F37843">
        <w:rPr>
          <w:rFonts w:ascii="Arial" w:hAnsi="Arial"/>
          <w:sz w:val="20"/>
        </w:rPr>
        <w:t>gestützt auf den Vertrag über die Arbeitsweise der Europäischen Union,</w:t>
      </w:r>
    </w:p>
    <w:p w14:paraId="242FC0B4" w14:textId="188662B3" w:rsidR="00437EBC" w:rsidRPr="00F37843" w:rsidRDefault="001A368C" w:rsidP="007D007C">
      <w:pPr>
        <w:spacing w:before="240" w:after="240" w:line="259" w:lineRule="auto"/>
        <w:jc w:val="both"/>
        <w:rPr>
          <w:rFonts w:ascii="Arial" w:hAnsi="Arial" w:cs="Arial"/>
          <w:sz w:val="20"/>
          <w:szCs w:val="20"/>
        </w:rPr>
      </w:pPr>
      <w:r w:rsidRPr="00F37843">
        <w:rPr>
          <w:rFonts w:ascii="Arial" w:hAnsi="Arial"/>
          <w:sz w:val="20"/>
        </w:rPr>
        <w:t>gestützt auf die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w:t>
      </w:r>
      <w:r w:rsidR="003533DE" w:rsidRPr="00F37843">
        <w:rPr>
          <w:rStyle w:val="FootnoteReference"/>
          <w:rFonts w:ascii="Arial" w:hAnsi="Arial" w:cs="Arial"/>
          <w:szCs w:val="20"/>
        </w:rPr>
        <w:footnoteReference w:id="2"/>
      </w:r>
      <w:r w:rsidRPr="00F37843">
        <w:rPr>
          <w:rFonts w:ascii="Arial" w:hAnsi="Arial"/>
          <w:sz w:val="20"/>
        </w:rPr>
        <w:t xml:space="preserve"> (im Folgenden „</w:t>
      </w:r>
      <w:r w:rsidRPr="00F37843">
        <w:rPr>
          <w:rFonts w:ascii="Arial" w:hAnsi="Arial"/>
          <w:b/>
          <w:sz w:val="20"/>
        </w:rPr>
        <w:t>Verordnung (EU) Nr. 806/2014</w:t>
      </w:r>
      <w:r w:rsidRPr="00F37843">
        <w:rPr>
          <w:rFonts w:ascii="Arial" w:hAnsi="Arial"/>
          <w:sz w:val="20"/>
        </w:rPr>
        <w:t>“),</w:t>
      </w:r>
    </w:p>
    <w:p w14:paraId="1EAFAA6B" w14:textId="46C36EE4" w:rsidR="00A454CB" w:rsidRPr="00F37843" w:rsidRDefault="00A454CB" w:rsidP="007D007C">
      <w:pPr>
        <w:spacing w:before="240" w:after="240" w:line="259" w:lineRule="auto"/>
        <w:jc w:val="both"/>
        <w:rPr>
          <w:rFonts w:ascii="Arial" w:hAnsi="Arial" w:cs="Arial"/>
          <w:sz w:val="20"/>
          <w:szCs w:val="20"/>
        </w:rPr>
      </w:pPr>
      <w:r w:rsidRPr="00F37843">
        <w:rPr>
          <w:rFonts w:ascii="Arial" w:hAnsi="Arial"/>
          <w:sz w:val="20"/>
        </w:rPr>
        <w:t>gestützt auf die Richtlinie 2014/59/EU des Europäischen Parlaments und des Rates vom 15. Mai 2014 zur Festlegung eines Rahmens für die Sanierung und Abwicklung von Kreditinstituten und Wertpapierfirmen und zur Änderung der Richtlinie 82/891/EWG des Rates, der Richtlinien 2001/24/EG, 2002/47/EG, 2004/25/EG, 2005/56/EG, 2007/36/EG, 2011/35/EU, 2012/30/EU und 2013/36/EU sowie der Verordnungen (EU) Nr. 1093/2010 und (EU) Nr. 648/2012 des Europäischen Parlaments und des Rates</w:t>
      </w:r>
      <w:r w:rsidRPr="00F37843">
        <w:rPr>
          <w:rFonts w:ascii="Arial" w:hAnsi="Arial" w:cs="Arial"/>
          <w:sz w:val="20"/>
          <w:szCs w:val="20"/>
          <w:vertAlign w:val="superscript"/>
        </w:rPr>
        <w:footnoteReference w:id="3"/>
      </w:r>
      <w:r w:rsidRPr="00F37843">
        <w:rPr>
          <w:rFonts w:ascii="Arial" w:hAnsi="Arial"/>
          <w:sz w:val="20"/>
        </w:rPr>
        <w:t xml:space="preserve"> (im Folgenden „</w:t>
      </w:r>
      <w:r w:rsidRPr="00F37843">
        <w:rPr>
          <w:rFonts w:ascii="Arial" w:hAnsi="Arial"/>
          <w:b/>
          <w:sz w:val="20"/>
        </w:rPr>
        <w:t>Richtlinie 214/59/EU</w:t>
      </w:r>
      <w:r w:rsidRPr="00F37843">
        <w:rPr>
          <w:rFonts w:ascii="Arial" w:hAnsi="Arial"/>
          <w:sz w:val="20"/>
        </w:rPr>
        <w:t>“),</w:t>
      </w:r>
    </w:p>
    <w:p w14:paraId="1F019419" w14:textId="690B16DC" w:rsidR="00A454CB" w:rsidRPr="00F37843" w:rsidRDefault="00A454CB" w:rsidP="007D007C">
      <w:pPr>
        <w:spacing w:before="240" w:after="240" w:line="259" w:lineRule="auto"/>
        <w:jc w:val="both"/>
        <w:rPr>
          <w:rFonts w:ascii="Arial" w:hAnsi="Arial" w:cs="Arial"/>
          <w:sz w:val="20"/>
          <w:szCs w:val="20"/>
        </w:rPr>
      </w:pPr>
      <w:r w:rsidRPr="00F37843">
        <w:rPr>
          <w:rFonts w:ascii="Arial" w:hAnsi="Arial"/>
          <w:sz w:val="20"/>
        </w:rPr>
        <w:t>gestützt auf die Durchführungsverordnung (EU) 2015/81 des Rates vom 19. Dezember 2014 zur Festlegung einheitlicher Modalitäten für die Anwendung der Verordnung (EU) Nr. 806/2014 des Europäischen Parlaments und des Rates im Hinblick auf im Voraus erhobene Beiträge zum einheitlichen Abwicklungsfonds</w:t>
      </w:r>
      <w:r w:rsidRPr="00F37843">
        <w:rPr>
          <w:rFonts w:ascii="Arial" w:hAnsi="Arial" w:cs="Arial"/>
          <w:sz w:val="20"/>
          <w:szCs w:val="20"/>
          <w:vertAlign w:val="superscript"/>
        </w:rPr>
        <w:footnoteReference w:id="4"/>
      </w:r>
      <w:r w:rsidRPr="00F37843">
        <w:rPr>
          <w:rFonts w:ascii="Arial" w:hAnsi="Arial"/>
          <w:sz w:val="20"/>
        </w:rPr>
        <w:t xml:space="preserve"> (im Folgenden „</w:t>
      </w:r>
      <w:r w:rsidRPr="00F37843">
        <w:rPr>
          <w:rFonts w:ascii="Arial" w:hAnsi="Arial"/>
          <w:b/>
          <w:sz w:val="20"/>
        </w:rPr>
        <w:t>Durchführungsverordnung (EU) 2015/81 des Rates</w:t>
      </w:r>
      <w:r w:rsidRPr="00F37843">
        <w:rPr>
          <w:rFonts w:ascii="Arial" w:hAnsi="Arial"/>
          <w:sz w:val="20"/>
        </w:rPr>
        <w:t>“), insbesondere auf Erwägungsgrund 12 und Artikel 6, sowie</w:t>
      </w:r>
    </w:p>
    <w:p w14:paraId="72AF9C48" w14:textId="77777777" w:rsidR="0083777E" w:rsidRPr="00F37843" w:rsidRDefault="00A454CB" w:rsidP="007D007C">
      <w:pPr>
        <w:spacing w:before="240" w:after="240" w:line="259" w:lineRule="auto"/>
        <w:jc w:val="both"/>
        <w:rPr>
          <w:rFonts w:ascii="Arial" w:hAnsi="Arial" w:cs="Arial"/>
          <w:sz w:val="20"/>
          <w:szCs w:val="20"/>
        </w:rPr>
      </w:pPr>
      <w:r w:rsidRPr="00F37843">
        <w:rPr>
          <w:rFonts w:ascii="Arial" w:hAnsi="Arial"/>
          <w:sz w:val="20"/>
        </w:rPr>
        <w:t>gestützt auf die Delegierte Verordnung (EU) 2015/63 der Kommission vom 21. Oktober 2014 zur Ergänzung der Richtlinie 2014/59/EU des Europäischen Parlaments und des Rates im Hinblick auf im Voraus erhobene Beiträge zu Abwicklungsfinanzierungsmechanismen (im Folgenden „</w:t>
      </w:r>
      <w:r w:rsidRPr="00F37843">
        <w:rPr>
          <w:rFonts w:ascii="Arial" w:hAnsi="Arial"/>
          <w:b/>
          <w:sz w:val="20"/>
        </w:rPr>
        <w:t>Delegierte Verordnung (EU) 2015/63 der Kommission</w:t>
      </w:r>
      <w:r w:rsidRPr="00F37843">
        <w:rPr>
          <w:rFonts w:ascii="Arial" w:hAnsi="Arial"/>
          <w:sz w:val="20"/>
        </w:rPr>
        <w:t>“)</w:t>
      </w:r>
      <w:r w:rsidRPr="00F37843">
        <w:rPr>
          <w:rFonts w:ascii="Arial" w:hAnsi="Arial" w:cs="Arial"/>
          <w:sz w:val="20"/>
          <w:szCs w:val="20"/>
          <w:vertAlign w:val="superscript"/>
        </w:rPr>
        <w:footnoteReference w:id="5"/>
      </w:r>
      <w:r w:rsidRPr="00F37843">
        <w:rPr>
          <w:rFonts w:ascii="Arial" w:hAnsi="Arial"/>
          <w:sz w:val="20"/>
        </w:rPr>
        <w:t>, insbesondere auf Artikel 14 Absatz 6,</w:t>
      </w:r>
    </w:p>
    <w:p w14:paraId="0BFA0C8B" w14:textId="77777777" w:rsidR="00CB5D8D" w:rsidRPr="00F37843" w:rsidRDefault="00CB5D8D" w:rsidP="007D007C">
      <w:pPr>
        <w:spacing w:before="120" w:after="120" w:line="240" w:lineRule="auto"/>
        <w:jc w:val="both"/>
        <w:rPr>
          <w:rFonts w:ascii="Arial" w:hAnsi="Arial" w:cs="Arial"/>
          <w:sz w:val="20"/>
          <w:szCs w:val="20"/>
        </w:rPr>
      </w:pPr>
    </w:p>
    <w:p w14:paraId="18E9B57A" w14:textId="12BFD7D6" w:rsidR="0083777E" w:rsidRPr="00F37843" w:rsidRDefault="0083777E" w:rsidP="007D007C">
      <w:pPr>
        <w:spacing w:before="120" w:after="120" w:line="240" w:lineRule="auto"/>
        <w:jc w:val="both"/>
        <w:rPr>
          <w:rFonts w:ascii="Arial" w:hAnsi="Arial" w:cs="Arial"/>
          <w:sz w:val="20"/>
          <w:szCs w:val="20"/>
        </w:rPr>
      </w:pPr>
      <w:r w:rsidRPr="00F37843">
        <w:rPr>
          <w:rFonts w:ascii="Arial" w:hAnsi="Arial"/>
          <w:sz w:val="20"/>
        </w:rPr>
        <w:t>in Erwägung nachstehender Gründe:</w:t>
      </w:r>
    </w:p>
    <w:p w14:paraId="64C7EE14" w14:textId="4268E3EA" w:rsidR="00CB5D8D" w:rsidRPr="00F37843" w:rsidRDefault="00CB5D8D" w:rsidP="001921D2">
      <w:pPr>
        <w:spacing w:before="120" w:after="120" w:line="259" w:lineRule="auto"/>
        <w:jc w:val="both"/>
        <w:rPr>
          <w:rFonts w:ascii="Arial" w:hAnsi="Arial" w:cs="Arial"/>
          <w:sz w:val="20"/>
          <w:szCs w:val="20"/>
        </w:rPr>
      </w:pPr>
    </w:p>
    <w:p w14:paraId="4CFC6717" w14:textId="77777777" w:rsidR="00CB5D8D" w:rsidRPr="00F37843" w:rsidRDefault="00CB5D8D" w:rsidP="001921D2">
      <w:pPr>
        <w:spacing w:before="120" w:after="120" w:line="259" w:lineRule="auto"/>
        <w:jc w:val="both"/>
        <w:rPr>
          <w:rFonts w:ascii="Arial" w:hAnsi="Arial" w:cs="Arial"/>
          <w:sz w:val="20"/>
          <w:szCs w:val="20"/>
        </w:rPr>
      </w:pPr>
    </w:p>
    <w:p w14:paraId="42766CED" w14:textId="353A70E8" w:rsidR="00A61424" w:rsidRPr="00F37843" w:rsidRDefault="00A61424" w:rsidP="00CB5D8D">
      <w:pPr>
        <w:pStyle w:val="ListParagraph"/>
        <w:numPr>
          <w:ilvl w:val="0"/>
          <w:numId w:val="4"/>
        </w:numPr>
        <w:spacing w:before="120" w:after="120" w:line="259" w:lineRule="auto"/>
        <w:jc w:val="both"/>
        <w:rPr>
          <w:rFonts w:ascii="Arial" w:hAnsi="Arial" w:cs="Arial"/>
          <w:b/>
          <w:bCs/>
          <w:sz w:val="20"/>
          <w:szCs w:val="20"/>
        </w:rPr>
      </w:pPr>
      <w:r w:rsidRPr="00F37843">
        <w:rPr>
          <w:rFonts w:ascii="Arial" w:hAnsi="Arial"/>
          <w:b/>
          <w:sz w:val="20"/>
        </w:rPr>
        <w:t>Rechtsrahmen</w:t>
      </w:r>
    </w:p>
    <w:p w14:paraId="573A1838" w14:textId="70F9F339" w:rsidR="0088635F" w:rsidRPr="00F37843" w:rsidRDefault="0088635F" w:rsidP="007D007C">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69 Absatz 4 der Verordnung (EU) Nr. 806/2014 müssen die nach Artikel 70 der Verordnung (EU) Nr. 806/2014 berechneten regulären Beiträge erhoben werden, bis die Zielausstattung erreicht ist, wenn der Betrag der verfügbaren Mittel nach der in Absatz 1 genannten Aufbauphase unter der in dem genannten Absatz angegebenen Zielausstattung liegt.</w:t>
      </w:r>
    </w:p>
    <w:p w14:paraId="6D6E28D5" w14:textId="2DA4CAF2" w:rsidR="0083777E" w:rsidRPr="00F37843" w:rsidRDefault="00A454CB"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70 Absatz 1 der Verordnung (EU) Nr. 806/2014 müssen die jeweiligen Beiträge der einzelnen Institute mindestens jährlich erhoben werden und werden anteilig zur Gesamthöhe ihrer Verbindlichkeiten (ohne Eigenmittel) abzüglich gedeckter Einlagen im Verhältnis zu den aggregierten Verbindlichkeiten (ohne Eigenmittel) abzüglich gedeckter Einlagen aller im Hoheitsgebiet aller teilnehmenden Mitgliedstaaten zugelassenen Institute berechnet.</w:t>
      </w:r>
    </w:p>
    <w:p w14:paraId="03FEB081" w14:textId="260A6F7F" w:rsidR="0083777E" w:rsidRPr="00F37843" w:rsidRDefault="00A454CB"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6 der Durchführungsverordnung (EU) 2015/81 des Rates muss der Ausschuss („</w:t>
      </w:r>
      <w:r w:rsidRPr="00F37843">
        <w:rPr>
          <w:rFonts w:ascii="Arial" w:hAnsi="Arial"/>
          <w:b/>
          <w:sz w:val="20"/>
        </w:rPr>
        <w:t>SRB</w:t>
      </w:r>
      <w:r w:rsidRPr="00F37843">
        <w:rPr>
          <w:rFonts w:ascii="Arial" w:hAnsi="Arial"/>
          <w:sz w:val="20"/>
        </w:rPr>
        <w:t>“ oder "</w:t>
      </w:r>
      <w:r w:rsidRPr="00F37843">
        <w:rPr>
          <w:rFonts w:ascii="Arial" w:hAnsi="Arial"/>
          <w:b/>
          <w:sz w:val="20"/>
        </w:rPr>
        <w:t>Ausschuss</w:t>
      </w:r>
      <w:r w:rsidRPr="00F37843">
        <w:rPr>
          <w:rFonts w:ascii="Arial" w:hAnsi="Arial"/>
          <w:sz w:val="20"/>
        </w:rPr>
        <w:t>“) die Datenformate und Darstellungsformen festlegen, die die Institute zu verwenden haben, um die für die Berechnung der Beiträge benötigten Informationen zu übermitteln, um eine bessere Vergleichbarkeit der beigebrachten Informationen und eine effektive Verarbeitung der erhaltenen Informationen zu erreichen.</w:t>
      </w:r>
    </w:p>
    <w:p w14:paraId="596BD2A1" w14:textId="5B73165D" w:rsidR="0083777E" w:rsidRPr="00F37843" w:rsidRDefault="00A454CB"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14 Absatz 1 der Delegierten Verordnung (EU) 2015/63 der Kommission, müssen die Institute der Abwicklungsbehörde bis spätestens 31. Dezember des dem Beitragszeitraum vorangehenden Jahres den letzten gebilligten Jahresabschluss vorlegen</w:t>
      </w:r>
      <w:r w:rsidRPr="00F37843">
        <w:rPr>
          <w:rFonts w:ascii="Arial" w:hAnsi="Arial" w:cs="Arial"/>
          <w:sz w:val="20"/>
          <w:szCs w:val="20"/>
          <w:vertAlign w:val="superscript"/>
        </w:rPr>
        <w:footnoteReference w:id="6"/>
      </w:r>
      <w:r w:rsidRPr="00F37843">
        <w:rPr>
          <w:rFonts w:ascii="Arial" w:hAnsi="Arial"/>
          <w:sz w:val="20"/>
        </w:rPr>
        <w:t>.</w:t>
      </w:r>
    </w:p>
    <w:p w14:paraId="2C354C5A" w14:textId="1C7E14BB" w:rsidR="0083777E" w:rsidRPr="00F37843" w:rsidRDefault="00A454CB"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14 Absatz 2 der Delegierten Verordnung (EU) 2015/63 der Kommission müssen die Institute der Abwicklungsbehörde mindestens die in Anhang II der Delegierten Verordnung (EU) 2015/63 der Kommission aufgelisteten Informationen auf Ebene der Einzelunternehmen zur Verfügung stellen.</w:t>
      </w:r>
    </w:p>
    <w:p w14:paraId="62AD3E2F" w14:textId="2BEE07C0" w:rsidR="00FE2885" w:rsidRPr="00F37843" w:rsidRDefault="00FE2885"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Gemäß Artikel 14 Absatz 5 der Delegierten Verordnung (EU) 2015/63 der Kommission müssen in dem Fall, dass die den Abwicklungsbehörden übermittelten Informationen bzw. Daten aktualisiert oder korrigiert werden, diese Aktualisierungen bzw. Korrekturen den Abwicklungsbehörden unverzüglich innerhalb der in Artikel 17 Absatz 5 festgelegten Frist übermittelt werden.</w:t>
      </w:r>
    </w:p>
    <w:p w14:paraId="60A6D965" w14:textId="18131E3B" w:rsidR="00C45398" w:rsidRPr="00F37843" w:rsidRDefault="00C45398" w:rsidP="00CB5D8D">
      <w:pPr>
        <w:pStyle w:val="ListParagraph"/>
        <w:numPr>
          <w:ilvl w:val="0"/>
          <w:numId w:val="6"/>
        </w:numPr>
        <w:spacing w:before="240" w:after="240"/>
        <w:ind w:left="567" w:hanging="567"/>
        <w:jc w:val="both"/>
        <w:rPr>
          <w:rFonts w:ascii="Arial" w:hAnsi="Arial" w:cs="Arial"/>
          <w:sz w:val="20"/>
          <w:szCs w:val="24"/>
        </w:rPr>
      </w:pPr>
      <w:r w:rsidRPr="00F37843">
        <w:rPr>
          <w:rFonts w:ascii="Arial" w:hAnsi="Arial"/>
          <w:sz w:val="20"/>
        </w:rPr>
        <w:t>Gemäß Artikel 17 Absatz 5 der Delegierten Verordnung (EU) 2015/63 der Kommission beginnt die Frist für die Einreichung von Anträgen auf Änderung oder Überarbeitung an dem Tag, an dem die Abwicklungsbehörden dem betreffenden Institut gemäß Artikel 13 Absätze 1 und 2 die Entscheidung über die Festsetzung des zu entrichtenden jährlichen Beitrags mitteilen, und endet am 31. Januar des Jahres, das auf den vierten Beitragszeitraum nach dem Beitragszeitraum, in dem die Entscheidung mitgeteilt wurde, folgt.</w:t>
      </w:r>
    </w:p>
    <w:p w14:paraId="2B3774F5" w14:textId="0AE98958" w:rsidR="00FE2885" w:rsidRPr="00F37843" w:rsidRDefault="00FE2885"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t>Nach Artikel 14 Absatz 6 der Delegierten Verordnung (EU) 2015/63 der Kommission müssen die Institute die in Anhang II der Delegierten Verordnung (EU) 2015/63 der Kommission aufgeführten Informationen in dem Datenformat und der Darstellungsform vorlegen, die von der Abwicklungsbehörde vorgegeben werden.</w:t>
      </w:r>
    </w:p>
    <w:p w14:paraId="098E935B" w14:textId="4FEFF84F" w:rsidR="00FE2885" w:rsidRPr="00F37843" w:rsidRDefault="00FE2885" w:rsidP="00CB5D8D">
      <w:pPr>
        <w:pStyle w:val="ListParagraph"/>
        <w:numPr>
          <w:ilvl w:val="0"/>
          <w:numId w:val="6"/>
        </w:numPr>
        <w:spacing w:before="240" w:after="240"/>
        <w:ind w:left="567" w:hanging="567"/>
        <w:jc w:val="both"/>
        <w:rPr>
          <w:rFonts w:ascii="Arial" w:hAnsi="Arial" w:cs="Arial"/>
          <w:sz w:val="20"/>
          <w:szCs w:val="20"/>
        </w:rPr>
      </w:pPr>
      <w:r w:rsidRPr="00F37843">
        <w:rPr>
          <w:rFonts w:ascii="Arial" w:hAnsi="Arial"/>
          <w:sz w:val="20"/>
        </w:rPr>
        <w:lastRenderedPageBreak/>
        <w:t>Nach Artikel 17 Absatz 3 der Delegierten Verordnung (EU) 2015/63 der Kommission gilt für den Fall, dass die der Abwicklungsbehörde von den Instituten vorgelegten Informationen einer Änderung oder Überarbeitung bedürfen, dass die Abwicklungsbehörde den jährlichen Beitrag entsprechend den aktualisierten Informationen bei der Berechnung des jährlichen Beitrags des betreffenden Instituts für den folgenden Beitragszeitraum anpasst.</w:t>
      </w:r>
    </w:p>
    <w:p w14:paraId="7583E20F" w14:textId="4C55EE5D" w:rsidR="00FB2FF7" w:rsidRPr="00F37843" w:rsidRDefault="00173D26" w:rsidP="00FB2FF7">
      <w:pPr>
        <w:pStyle w:val="ListParagraph"/>
        <w:numPr>
          <w:ilvl w:val="0"/>
          <w:numId w:val="6"/>
        </w:numPr>
        <w:spacing w:before="240" w:after="240"/>
        <w:ind w:left="567" w:hanging="567"/>
        <w:jc w:val="both"/>
        <w:rPr>
          <w:rFonts w:ascii="Arial" w:eastAsia="Times New Roman" w:hAnsi="Arial" w:cs="Arial"/>
          <w:color w:val="333333"/>
          <w:sz w:val="21"/>
          <w:szCs w:val="21"/>
        </w:rPr>
      </w:pPr>
      <w:r w:rsidRPr="00F37843">
        <w:rPr>
          <w:rFonts w:ascii="Arial" w:hAnsi="Arial"/>
          <w:sz w:val="20"/>
        </w:rPr>
        <w:t>Gemäß Artikel 34 der Verordnung (EU) Nr. 806/2014 kann der Ausschuss unter voller Ausschöpfung aller bei der Europäischen Zentralbank („</w:t>
      </w:r>
      <w:r w:rsidRPr="00F37843">
        <w:rPr>
          <w:rFonts w:ascii="Arial" w:hAnsi="Arial"/>
          <w:b/>
          <w:sz w:val="20"/>
        </w:rPr>
        <w:t>EZB</w:t>
      </w:r>
      <w:r w:rsidRPr="00F37843">
        <w:rPr>
          <w:rFonts w:ascii="Arial" w:hAnsi="Arial"/>
          <w:sz w:val="20"/>
        </w:rPr>
        <w:t>“) oder den nationalen zuständigen Behörden verfügbaren Informationen zur Wahrnehmung seiner Aufgaben im Sinne dieser Verordnung von den folgenden juristischen oder natürlichen Personen über die nationalen Abwicklungsbehörden oder, nachdem diese Personen von ihm darüber informiert worden sind, direkt sämtliche Informationen anfordern, die für die Wahrnehmung der ihm durch diese Verordnung übertragenen Aufgaben erforderlich sind.</w:t>
      </w:r>
    </w:p>
    <w:p w14:paraId="594EEEA5" w14:textId="5F845262" w:rsidR="00FB2FF7" w:rsidRPr="00F37843" w:rsidRDefault="00FB2FF7" w:rsidP="00A43980">
      <w:pPr>
        <w:pStyle w:val="ListParagraph"/>
        <w:numPr>
          <w:ilvl w:val="0"/>
          <w:numId w:val="6"/>
        </w:numPr>
        <w:spacing w:before="240" w:after="240"/>
        <w:ind w:left="567" w:hanging="567"/>
        <w:jc w:val="both"/>
        <w:rPr>
          <w:rFonts w:ascii="Arial" w:eastAsia="Times New Roman" w:hAnsi="Arial" w:cs="Arial"/>
          <w:color w:val="333333"/>
          <w:sz w:val="20"/>
          <w:szCs w:val="20"/>
        </w:rPr>
      </w:pPr>
      <w:r w:rsidRPr="00F37843">
        <w:rPr>
          <w:rFonts w:ascii="Arial" w:hAnsi="Arial"/>
          <w:color w:val="333333"/>
          <w:sz w:val="20"/>
        </w:rPr>
        <w:t>Gemäß Artikel 31a Absatz 2 der Verordnung (EU) Nr. 806/2014 fordert der Ausschuss Informationen von einer der anderen Behörden, die diese Informationen erhalten haben, an, anstatt sie direkt von Finanzinstituten anzufordern, sofern der Ausschuss gemäß dem Unionsrecht berechtigt ist, diese Informationen einzuholen. Unterabsatz 1 berührt nicht die Befugnisse des Ausschusses, die angeforderten Informationen von Finanzinstituten einzuholen, wenn die andere Behörde nicht in der Lage ist, die Informationen weiterzugeben, dringende Maßnahmen notwendig sind oder die Einholung der Informationen direkt von Finanzinstituten für die Wahrnehmung der Aufgaben des Ausschusses gemäß dem Unionsrecht erforderlich ist.</w:t>
      </w:r>
    </w:p>
    <w:p w14:paraId="39BD8F92" w14:textId="031560CB" w:rsidR="004E0E8E" w:rsidRPr="00F37843" w:rsidRDefault="004E0E8E" w:rsidP="00CB5D8D">
      <w:pPr>
        <w:pStyle w:val="ListParagraph"/>
        <w:numPr>
          <w:ilvl w:val="0"/>
          <w:numId w:val="4"/>
        </w:numPr>
        <w:spacing w:before="240" w:after="240" w:line="259" w:lineRule="auto"/>
        <w:jc w:val="both"/>
        <w:rPr>
          <w:rFonts w:ascii="Arial" w:hAnsi="Arial" w:cs="Arial"/>
          <w:b/>
          <w:bCs/>
          <w:iCs/>
          <w:sz w:val="20"/>
          <w:szCs w:val="20"/>
        </w:rPr>
      </w:pPr>
      <w:r w:rsidRPr="00F37843">
        <w:rPr>
          <w:rFonts w:ascii="Arial" w:hAnsi="Arial"/>
          <w:b/>
          <w:sz w:val="20"/>
        </w:rPr>
        <w:t>Rechtliche und wirtschaftliche Bewertung</w:t>
      </w:r>
    </w:p>
    <w:p w14:paraId="38768516" w14:textId="18C4616C" w:rsidR="00472821" w:rsidRPr="00F37843" w:rsidRDefault="00F4521C"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Gemäß Artikel 6 der Durchführungsverordnung (EU) 2015/81 des Rates legt der SRB unter Berücksichtigung der von Instituten und nationalen Abwicklungsbehörden</w:t>
      </w:r>
      <w:r w:rsidR="00A61424" w:rsidRPr="00F37843">
        <w:rPr>
          <w:rStyle w:val="FootnoteReference"/>
          <w:rFonts w:ascii="Arial" w:hAnsi="Arial" w:cs="Arial"/>
          <w:szCs w:val="20"/>
        </w:rPr>
        <w:footnoteReference w:id="7"/>
      </w:r>
      <w:r w:rsidRPr="00F37843">
        <w:rPr>
          <w:rFonts w:ascii="Arial" w:hAnsi="Arial"/>
          <w:sz w:val="20"/>
        </w:rPr>
        <w:t xml:space="preserve"> in den vorhergehenden Zyklen eingegangenen Bemerkungen und Vorschläge die Datenformate und Darstellungsformen fest, die von den Instituten zur Meldung der für die Berechnung der Beiträge für 2027 erforderlichen Daten zu verwenden sind.</w:t>
      </w:r>
    </w:p>
    <w:p w14:paraId="05E3ECB3" w14:textId="30A32F17" w:rsidR="00024A07" w:rsidRPr="00F37843" w:rsidRDefault="008F2390"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Die Berichtspflichten der Institute für den Beitragszeitraum 2027 sind im Vergleich zum vorangegangenen Beitragszeitraum relativ konstant. Einige neuere Änderungen des Rechtsrahmens führten jedoch zu folgenden Änderungen: i) Aufhebung des Risikoindikators „Vom Institut gehaltene Eigenmittel und berücksichtigungsfähige Verbindlichkeiten, die über die Mindestanforderung an Eigenmitteln und berücksichtigungsfähigen Verbindlichkeiten hinausgehen“</w:t>
      </w:r>
      <w:r w:rsidR="00215E5B" w:rsidRPr="00F37843">
        <w:rPr>
          <w:rStyle w:val="FootnoteReference"/>
          <w:rFonts w:ascii="Arial" w:hAnsi="Arial" w:cs="Arial"/>
          <w:szCs w:val="20"/>
        </w:rPr>
        <w:footnoteReference w:id="8"/>
      </w:r>
      <w:r w:rsidRPr="00F37843">
        <w:rPr>
          <w:rFonts w:ascii="Arial" w:hAnsi="Arial"/>
          <w:sz w:val="20"/>
        </w:rPr>
        <w:t>, ii) Einführung neuer Modalitäten für die Berechnung des Beitrags bestimmter Wertpapierfirmen</w:t>
      </w:r>
      <w:r w:rsidR="00F713FD" w:rsidRPr="00F37843">
        <w:rPr>
          <w:rStyle w:val="FootnoteReference"/>
          <w:rFonts w:ascii="Arial" w:hAnsi="Arial" w:cs="Arial"/>
          <w:szCs w:val="20"/>
        </w:rPr>
        <w:footnoteReference w:id="9"/>
      </w:r>
      <w:r w:rsidRPr="00F37843">
        <w:rPr>
          <w:rFonts w:ascii="Arial" w:hAnsi="Arial"/>
          <w:sz w:val="20"/>
        </w:rPr>
        <w:t xml:space="preserve"> und iii) Stärkung der Datenaustauschpflichten zwischen EU-Instituten und nationalen Behörden mit dem Ziel, den Berichterstattungsaufwand der Institute zu verringern</w:t>
      </w:r>
      <w:r w:rsidR="00181692" w:rsidRPr="00F37843">
        <w:rPr>
          <w:rStyle w:val="FootnoteReference"/>
          <w:rFonts w:ascii="Arial" w:hAnsi="Arial" w:cs="Arial"/>
          <w:szCs w:val="20"/>
        </w:rPr>
        <w:footnoteReference w:id="10"/>
      </w:r>
      <w:r w:rsidRPr="00F37843">
        <w:rPr>
          <w:rFonts w:ascii="Arial" w:hAnsi="Arial"/>
          <w:sz w:val="20"/>
        </w:rPr>
        <w:t>.</w:t>
      </w:r>
    </w:p>
    <w:p w14:paraId="6054A70A" w14:textId="79641CD8" w:rsidR="000102A3" w:rsidRPr="00F37843" w:rsidRDefault="00024A07">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Mit dem vorliegenden Beschluss werden die vorstehend genannten Änderungen berücksichtigt und umgesetzt. Insbesondere sind in diesem Beschluss die Datenformate und Darstellungsformen enthalten, die für die Meldung durch bestimmte Wertpapierfirmen im Anwendungsbereich von Artikel 1 Absatz 5 der Delegierten Verordnung (EU) 2026/440 der Kommission erforderlich sind.</w:t>
      </w:r>
    </w:p>
    <w:p w14:paraId="261478EE" w14:textId="7AE2E3C7" w:rsidR="00F21C46" w:rsidRPr="00F37843" w:rsidRDefault="007A70D3" w:rsidP="00A43980">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Gemäß Artikel 31a der Verordnung (EU) Nr. 806/2014 bewertete der Ausschuss, welche der etwa 150 Datenpunkte, die für die Berechnung der Beiträge für 2027 erforderlich sind, bereits anderen EU-Behörden und nationalen Behörden vorlagen. Der Ausschuss stellte fest, dass etwa 60 Datenpunkte</w:t>
      </w:r>
      <w:r w:rsidR="009F6F9A" w:rsidRPr="00F37843">
        <w:rPr>
          <w:rStyle w:val="FootnoteReference"/>
          <w:rFonts w:ascii="Arial" w:hAnsi="Arial" w:cs="Arial"/>
          <w:szCs w:val="20"/>
        </w:rPr>
        <w:footnoteReference w:id="11"/>
      </w:r>
      <w:r w:rsidRPr="00F37843">
        <w:rPr>
          <w:rFonts w:ascii="Arial" w:hAnsi="Arial"/>
          <w:sz w:val="20"/>
        </w:rPr>
        <w:t xml:space="preserve"> („</w:t>
      </w:r>
      <w:r w:rsidRPr="00F37843">
        <w:rPr>
          <w:rFonts w:ascii="Arial" w:hAnsi="Arial"/>
          <w:b/>
          <w:sz w:val="20"/>
        </w:rPr>
        <w:t>beschaffte Daten</w:t>
      </w:r>
      <w:r w:rsidRPr="00F37843">
        <w:rPr>
          <w:rFonts w:ascii="Arial" w:hAnsi="Arial"/>
          <w:sz w:val="20"/>
        </w:rPr>
        <w:t>“) verfügbar waren, wenn auch nicht für alle Institute. Der Ausschuss prüfte ferner, ob und wie die beschafften Daten technisch für die Berechnung verwendbar sind, da im Berechnungstool Daten aus verschiedenen Quellen und Formaten kombiniert werden müssen. Der Ausschuss kam zu dem Schluss, dass ein solcher Vorgang nur manuell durchgeführt werden kann, was nicht minderbare operative Risiken mit sich bringt. Daher erwog der Ausschuss, die Daten gemäß Artikel 31a Unterabsatz 2 der Verordnung (EU) Nr. 806/2014 direkt von den Instituten anzufordern, soweit dies für die Durchführung der Festlegung der Beiträge zum SRF erforderlich ist.</w:t>
      </w:r>
    </w:p>
    <w:p w14:paraId="50A56089" w14:textId="10B39623" w:rsidR="00CF382A" w:rsidRPr="00F37843" w:rsidRDefault="00CF382A"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Die Datenformate und Darstellungsformen werden so festgelegt, dass die Vergleichbarkeit der gemeldeten Informationen und die Wirksamkeit der Verarbeitung der erhaltenen Informationen verbessert werden. In diesem Zusammenhang ist es äußerst wichtig, dass die Beiträge auf der Grundlage gemeldeter Daten berechnet werden, die bestimmte Mindestkriterien in Bezug auf Verfügbarkeit, Qualität und Harmonisierung erfüllen. Dies ist besonders wichtig, weil es sich bei der Berechnung um ein Verteilungsmodell handelt, das auf Vergleichen zwischen Instituten beruht und hochwertige, vergleichbare Daten erfordert. Gemäß Artikel 4 der Delegierten Verordnung (EU) 2015/63 der Kommission werden die Beiträge auf der Grundlage der von den Instituten gemäß Artikel 14 derselben Delegierten Verordnung bereitgestellten Daten berechnet. Nach diesem Artikel müssen die Institute dem SRB mindestens die in Anhang II der Delegierten Verordnung (EU) 2015/63 der Kommission aufgeführten Datenpunkte vorlegen. Da in diesem Anhang II die zur Bestimmung der Risikoindikatoren des Risikofelds IV („Von der Abwicklungsbehörde zu bestimmende zusätzliche Risikoindikatoren“) erforderlichen Daten nicht aufgeführt sind und diese Indikatoren von der Abwicklungsbehörde genauer festzulegen sind, muss der SRB die für Zwecke der Teilindikatoren zu meldenden Daten festlegen.</w:t>
      </w:r>
    </w:p>
    <w:p w14:paraId="258178A0" w14:textId="42653FFC" w:rsidR="00DD6792" w:rsidRPr="00F37843" w:rsidRDefault="00DD6792"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Der SRB überwacht die Verfügbarkeit und Zuverlässigkeit der Daten, die für die Berechnung der Beiträge und die Umsetzung der einzelnen in Artikel 6 der Delegierten Verordnung (EU) 2015/63 der Kommission genannten Risikoindikatoren erforderlich sind. Diese Risikoindikatoren müssen auf der Grundlage korrekter und harmonisierter Daten angewendet werden, die eine präzise Berechnung der relativen Risikoposition jedes Instituts ermöglichen. Dies setzt voraus, dass die für die Anwendung der einzelnen Risikoindikatoren zugrunde gelegten Datenpunkte in einem harmonisierten und aktuellen Format vorliegen sollten.</w:t>
      </w:r>
    </w:p>
    <w:p w14:paraId="6196349A" w14:textId="3C3A1A83" w:rsidR="00881852" w:rsidRPr="00F37843" w:rsidRDefault="00881852" w:rsidP="00584BD3">
      <w:pPr>
        <w:pStyle w:val="ListParagraph"/>
        <w:numPr>
          <w:ilvl w:val="0"/>
          <w:numId w:val="6"/>
        </w:numPr>
        <w:spacing w:after="0" w:line="276" w:lineRule="auto"/>
        <w:ind w:left="567" w:hanging="567"/>
        <w:jc w:val="both"/>
        <w:rPr>
          <w:rFonts w:ascii="Arial" w:hAnsi="Arial" w:cs="Arial"/>
          <w:sz w:val="20"/>
          <w:szCs w:val="20"/>
        </w:rPr>
      </w:pPr>
      <w:r w:rsidRPr="00F37843">
        <w:rPr>
          <w:rFonts w:ascii="Arial" w:hAnsi="Arial"/>
          <w:sz w:val="20"/>
        </w:rPr>
        <w:t>Wie für jeden Beitragszeitraum überprüfte der SRB für den Beitragszeitraum 2027 die Möglichkeit, alle in Artikel 6 der Delegierten Verordnung (EU) 2015/63 der Kommission genannten Risikoindikatoren in die Berechnungsmethode aufzunehmen, einschließlich desjenigen, der in den früheren Zyklen noch nicht angewendet wurde</w:t>
      </w:r>
      <w:r w:rsidRPr="00F37843">
        <w:rPr>
          <w:rStyle w:val="FootnoteReference"/>
          <w:rFonts w:ascii="Arial" w:hAnsi="Arial" w:cs="Arial"/>
          <w:szCs w:val="20"/>
        </w:rPr>
        <w:footnoteReference w:id="12"/>
      </w:r>
      <w:r w:rsidRPr="00F37843">
        <w:rPr>
          <w:rFonts w:ascii="Arial" w:hAnsi="Arial"/>
          <w:sz w:val="20"/>
        </w:rPr>
        <w:t>, d. h. des Indikators „Komplexität und Abwicklungsfähigkeit“ (Risikofeld IV).</w:t>
      </w:r>
    </w:p>
    <w:p w14:paraId="57CEC4E7" w14:textId="41547094" w:rsidR="00AD765D" w:rsidRPr="00F37843" w:rsidRDefault="00104E4D" w:rsidP="00847092">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 xml:space="preserve">Da die zur Bestimmung des Risikoindikators „Komplexität und Abwicklungsfähigkeit“ erforderlichen Datenpunkte für den Bezugszeitraum 2025 nicht einheitlich für alle Institute in teilnehmenden Mitgliedstaaten verfügbar sind, kann der SRB diesen Indikator für die Zwecke des Beitragszeitraums 2027 nicht anwenden. In Anbetracht der vorstehenden Ausführungen hält es der SRB für angemessen, zur Vermeidung einer übermäßigen administrativen Belastung für die Institute die Meldung von Variablen des Indikators „Komplexität und Abwicklungsfähigkeit“ im Rahmen der Datenerhebung 2027 </w:t>
      </w:r>
      <w:r w:rsidRPr="00F37843">
        <w:rPr>
          <w:rFonts w:ascii="Arial" w:hAnsi="Arial"/>
          <w:sz w:val="20"/>
          <w:u w:val="single"/>
        </w:rPr>
        <w:t>nicht</w:t>
      </w:r>
      <w:r w:rsidRPr="00F37843">
        <w:rPr>
          <w:rFonts w:ascii="Arial" w:hAnsi="Arial"/>
          <w:sz w:val="20"/>
        </w:rPr>
        <w:t xml:space="preserve"> zu verlangen.</w:t>
      </w:r>
    </w:p>
    <w:p w14:paraId="24146C81" w14:textId="5F6FA2EC" w:rsidR="002E1C21" w:rsidRPr="00F37843" w:rsidRDefault="002E1C21" w:rsidP="00CD1E4B">
      <w:pPr>
        <w:pStyle w:val="ListParagraph"/>
        <w:numPr>
          <w:ilvl w:val="0"/>
          <w:numId w:val="6"/>
        </w:numPr>
        <w:spacing w:before="240" w:after="160" w:line="259" w:lineRule="auto"/>
        <w:ind w:left="567" w:hanging="567"/>
        <w:jc w:val="both"/>
        <w:rPr>
          <w:rFonts w:ascii="Arial" w:hAnsi="Arial" w:cs="Arial"/>
          <w:sz w:val="20"/>
          <w:szCs w:val="20"/>
        </w:rPr>
      </w:pPr>
      <w:r w:rsidRPr="00F37843">
        <w:rPr>
          <w:rFonts w:ascii="Arial" w:hAnsi="Arial"/>
          <w:sz w:val="20"/>
        </w:rPr>
        <w:t>Unter Berücksichtigung der vorstehenden Ausführungen hat der SRB den Meldebogen 2027 festgelegt, der in Anhang I dieses Beschlusses enthalten ist.</w:t>
      </w:r>
    </w:p>
    <w:p w14:paraId="3E7DF850" w14:textId="703FB356" w:rsidR="000C2DBB" w:rsidRPr="00F37843" w:rsidRDefault="001E22F8" w:rsidP="00CD1E4B">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Angesichts der Art und Komplexität von (zumindest einigen) Datenpunkten, die für die Berechnung zu melden sind, hält es der SRB für angemessen, den Instituten einen Leitfaden (Anhang III dieses Beschlusses) zu den Definitionen der relevanten Datenpunkte zur Verfügung zu stellen. Dieser Leitfaden dient der Vereinheitlichung der Meldungen sowie der Verbesserung der Vergleichbarkeit der Daten und der Wirksamkeit des Prozesses. Er erleichtert es den Instituten, den Meldebogen 2027 einheitlich auszufüllen, was ein wichtiges Element für die Gewährleistung der Vergleichbarkeit der Daten ist. Gegebenenfalls wird im Leitfaden auf den aufsichtlichen Melderahmen verwiesen.</w:t>
      </w:r>
      <w:r w:rsidR="00ED7A64" w:rsidRPr="00F37843">
        <w:rPr>
          <w:rStyle w:val="FootnoteReference"/>
          <w:rFonts w:ascii="Arial" w:hAnsi="Arial" w:cs="Arial"/>
          <w:szCs w:val="20"/>
        </w:rPr>
        <w:footnoteReference w:id="13"/>
      </w:r>
    </w:p>
    <w:p w14:paraId="2FA742C7" w14:textId="56CFD3F7" w:rsidR="00E26715" w:rsidRPr="00F37843" w:rsidRDefault="00343272"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Wie für jeden Zyklus und mit Bezug auf Erwägungsgrund 12 der Durchführungsverordnung (EU) 2015/81 des Rates definiert der SRB für den Beitragszeitraum 2027 Anforderungen bezüglich einer zusätzlichen Zusicherung für die Daten, die von den Instituten ausschließlich zum Zweck der Berechnung der Beiträge zum SRF und nicht nach den regulären Aufsichts- oder Rechnungslegungsvorschriften (Anhang II dieses Beschlusses) gemeldet werden.</w:t>
      </w:r>
    </w:p>
    <w:p w14:paraId="1CF4F121" w14:textId="3064EA71" w:rsidR="00DD6792" w:rsidRPr="00F37843" w:rsidRDefault="0019598D"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Durch diese Anforderungen bezüglich einer zusätzlichen Zusicherung soll in erster Linie sichergestellt werden, dass die von den Instituten übermittelten und vom SRB für die Berechnung der Beiträge verwendeten Daten dem höchsten Standard im Hinblick auf die Genauigkeit entsprechen. Der Anwendungsbereich der zusätzlichen Zusicherung bezieht sich insbesondere auf Daten, die anderweitig nicht in den Anwendungsbereich der aufsichtlichen Berichterstattung oder Prüfung fallen, z. B. zu gedeckten Einlagen (von den Instituten als Abzüge gemeldet), Daten zu Derivaten, die zur Anpassung der Summe der Verbindlichkeiten eingesetzt werden, und Daten zu relevanten Verbindlichkeiten und Forderungen im Rahmen des gruppeninternen, institutsbezogenen Sicherungssystems („</w:t>
      </w:r>
      <w:r w:rsidRPr="00F37843">
        <w:rPr>
          <w:rFonts w:ascii="Arial" w:hAnsi="Arial"/>
          <w:b/>
          <w:sz w:val="20"/>
        </w:rPr>
        <w:t>IPS</w:t>
      </w:r>
      <w:r w:rsidRPr="00F37843">
        <w:rPr>
          <w:rFonts w:ascii="Arial" w:hAnsi="Arial"/>
          <w:sz w:val="20"/>
        </w:rPr>
        <w:t>“) und zu Förderdarlehen sowie Eigenmitteln im Falle einer Ausnahmegenehmigung.</w:t>
      </w:r>
    </w:p>
    <w:p w14:paraId="09A2F7CE" w14:textId="58CA2AAC" w:rsidR="003A3A78" w:rsidRPr="00F37843" w:rsidRDefault="00E12F57"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Die Gewährleistung der Genauigkeit der bereitgestellten Daten ist ein Schlüsselelement für den Schutz der Interessen aller Institute.</w:t>
      </w:r>
    </w:p>
    <w:p w14:paraId="3772CF2F" w14:textId="5ED3FAC0" w:rsidR="002C577C" w:rsidRPr="00F37843" w:rsidRDefault="0035077F" w:rsidP="00EA689A">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Um die finanzielle und operative Belastung durch den Prozess der zusätzlichen Zusicherung zu begrenzen und ihn im Einklang mit dem Grundsatz der Verhältnismäßigkeit zu halten, hält es der SRB für angemessen, die Anwendung der Anforderungen bezüglich einer zusätzlichen Zusicherung für den Beitragszeitraum 2027 von der Berechnung und Erhebung der Beiträge zum SRF abhängig zu machen. Dies würde bedeuten, dass die Institute die maßgeblichen Unterlagen nur dann beim SRB einreichen müssen, wenn der SRB einen Beschluss erlässt, in dem festgelegt wird, dass die Beiträge zum SRF auf der Grundlage des im Zyklus 2027 eingeholten Datensatzes berechnet und erhoben werden. Auf diese Weise wird die Belastung für die Institute so weit wie möglich begrenzt, während das Hauptziel der zusätzlichen Zusicherung gewahrt bleibt.</w:t>
      </w:r>
    </w:p>
    <w:p w14:paraId="556AB5DC" w14:textId="054771AB" w:rsidR="007D5E67" w:rsidRPr="00F37843" w:rsidRDefault="007D5E67" w:rsidP="007D5E67">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 xml:space="preserve">Die von den Instituten zu erfüllenden Anforderungen bezüglich einer zusätzlichen Zusicherung sind in Anhang II dieses Beschlusses aufgeführt und gelten </w:t>
      </w:r>
      <w:r w:rsidRPr="00F37843">
        <w:rPr>
          <w:rFonts w:ascii="Arial" w:hAnsi="Arial"/>
          <w:sz w:val="20"/>
          <w:u w:val="single"/>
        </w:rPr>
        <w:t>nur im Falle der Beitragserhebung</w:t>
      </w:r>
      <w:r w:rsidRPr="00F37843">
        <w:rPr>
          <w:rFonts w:ascii="Arial" w:hAnsi="Arial"/>
          <w:sz w:val="20"/>
        </w:rPr>
        <w:t>. Der SRB hat auf der Grundlage von in vorhergehenden Beitragszeiträumen beobachteten Trends bewertet, ob sich von einem Prüfer vorgenommene vereinbarte Prüfungshandlungen besser eignen, die Genauigkeit der Daten zu gewährleisten, als lediglich eine Abnahme durch das Leitungsorgan des Instituts. Auf der Grundlage der Erfahrungen und der verfügbaren Daten aus früheren Beitragszeiträumen ist der SRB der Auffassung, dass im Falle einer Erhebung für die Daten in Bezug auf den Beitragszeitraum 2027 von einem Prüfer durchgeführte vereinbarte Prüfungshandlungen der einzige geeignete Weg sind, um das Ziel der Anforderungen bezüglich einer zusätzlichen Zusicherung wirksam und verhältnismäßig zu gewährleisten</w:t>
      </w:r>
      <w:r w:rsidRPr="00F37843">
        <w:rPr>
          <w:rStyle w:val="FootnoteReference"/>
          <w:rFonts w:ascii="Arial" w:hAnsi="Arial" w:cs="Arial"/>
          <w:szCs w:val="20"/>
        </w:rPr>
        <w:footnoteReference w:id="14"/>
      </w:r>
      <w:r w:rsidRPr="00F37843">
        <w:rPr>
          <w:rFonts w:ascii="Arial" w:hAnsi="Arial"/>
          <w:sz w:val="20"/>
        </w:rPr>
        <w:t>.</w:t>
      </w:r>
    </w:p>
    <w:p w14:paraId="0374223B" w14:textId="4D5D7974" w:rsidR="00013E90" w:rsidRPr="00F37843" w:rsidRDefault="0035176E"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 xml:space="preserve">Die oben genannte Konditionalität der vereinbarten Prüfungshandlungen gelten </w:t>
      </w:r>
      <w:r w:rsidRPr="00F37843">
        <w:rPr>
          <w:rFonts w:ascii="Arial" w:hAnsi="Arial"/>
          <w:b/>
          <w:sz w:val="20"/>
          <w:u w:val="single"/>
        </w:rPr>
        <w:t>nicht</w:t>
      </w:r>
      <w:r w:rsidRPr="00F37843">
        <w:rPr>
          <w:rFonts w:ascii="Arial" w:hAnsi="Arial"/>
          <w:sz w:val="20"/>
        </w:rPr>
        <w:t xml:space="preserve"> für die Daten, die für im Jahr 2027 zu verarbeitende Änderungen übermittelt wurden. Unabhängig von der tatsächlichen Verwendung des Datensatzes 2027 sind die Anforderungen bezüglich einer zusätzlichen Zusicherung (unbedingt) auf die Änderungen (in Bezug auf die Beitragszeiträume 2016-2023) von Datenpunkten anzuwenden, die unter die Anforderungen bezüglich einer zusätzlichen Zusicherung fallen und in der Vergangenheit zur Berechnung und Erhebung von Beiträgen zum SRF verwendet wurden. In Bezug auf etwaige Änderungen von Datenpunkten aus den Beitragszeiträumen 2016-2023, die im Beitragszeitraum 2027 verarbeitet werden sollen, wird der SRB jedoch aus Gründen der Verhältnismäßigkeit eine Abnahme durch das Leitungsorgan des Instituts</w:t>
      </w:r>
      <w:r w:rsidR="007D5E67" w:rsidRPr="00F37843">
        <w:rPr>
          <w:rStyle w:val="FootnoteReference"/>
          <w:rFonts w:ascii="Arial" w:hAnsi="Arial" w:cs="Arial"/>
          <w:szCs w:val="20"/>
        </w:rPr>
        <w:footnoteReference w:id="15"/>
      </w:r>
      <w:r w:rsidRPr="00F37843">
        <w:rPr>
          <w:rFonts w:ascii="Arial" w:hAnsi="Arial"/>
          <w:sz w:val="20"/>
        </w:rPr>
        <w:t xml:space="preserve"> („Sign-off“) als Erfüllung der Anforderungen in Bezug auf die vereinbarten Prüfungshandlungen betrachten.</w:t>
      </w:r>
    </w:p>
    <w:p w14:paraId="24F41A42" w14:textId="5AB8A152" w:rsidR="003A3A78" w:rsidRPr="00F37843" w:rsidRDefault="00306A4B"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Nach Auffassung des SRB stehen diese Anforderungen bezüglich einer zusätzlichen Zusicherung im Einklang mit dem Grundsatz der Verhältnismäßigkeit, insbesondere angesichts der positiven Auswirkungen eines solchen Ansatzes auf die Sicherstellung der Genauigkeit der Daten, die möglicherweise für die Berechnung der Beiträge der einzelnen Institute zum SRF verwendet werden. Zudem wird angenommen, dass die Maßnahmen, die von den Instituten im Anwendungsbereich zur Sicherstellung der Konformität mit diesem Beschluss zu ergreifen sind, im Vergleich zu möglichen alternativen Maßnahmen, wie der Forderung einer Zuverlässigkeitserklärung eines Prüfers zu den in den Anwendungsbereich der zusätzlichen Zusicherung fallenden Datenpunkte, relativ begrenzt sind, insbesondere im Zusammenhang mit der oben genannten bedingten Anwendung.</w:t>
      </w:r>
    </w:p>
    <w:p w14:paraId="7F632CF5" w14:textId="227FC731" w:rsidR="00FD4460" w:rsidRPr="00F37843" w:rsidRDefault="00A4116D" w:rsidP="007D007C">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Der SRB hält es für erforderlich, dass die nationalen Abwicklungsbehörden den Ermessensspielraum beibehalten, um den Umfang der Daten, die unter die Anforderungen bezüglich einer zusätzlichen Zusicherung fallen, zu erweitern oder den Kreis der Institute, die eine über das in diesem Beschluss festgelegte Minimum hinausgehende zusätzliche Zusicherung vorlegen müssen, auszuweiten.</w:t>
      </w:r>
    </w:p>
    <w:p w14:paraId="68A43E32" w14:textId="05BB454C" w:rsidR="00452790" w:rsidRPr="00F37843" w:rsidRDefault="00A61424">
      <w:pPr>
        <w:pStyle w:val="ListParagraph"/>
        <w:numPr>
          <w:ilvl w:val="0"/>
          <w:numId w:val="6"/>
        </w:numPr>
        <w:spacing w:before="240" w:after="240" w:line="259" w:lineRule="auto"/>
        <w:ind w:left="567" w:hanging="567"/>
        <w:jc w:val="both"/>
        <w:rPr>
          <w:rFonts w:ascii="Arial" w:hAnsi="Arial" w:cs="Arial"/>
          <w:sz w:val="20"/>
          <w:szCs w:val="20"/>
        </w:rPr>
      </w:pPr>
      <w:r w:rsidRPr="00F37843">
        <w:rPr>
          <w:rFonts w:ascii="Arial" w:hAnsi="Arial"/>
          <w:sz w:val="20"/>
        </w:rPr>
        <w:t>Im Rahmen der Berechnung der Beiträge zum SRF sind die nationalen Abwicklungsbehörden die erste Kontaktstelle für die Kommunikation mit den in ihren jeweiligen Hoheitsgebieten niedergelassenen Institute.</w:t>
      </w:r>
      <w:r w:rsidR="00862748" w:rsidRPr="00F37843">
        <w:rPr>
          <w:rStyle w:val="FootnoteReference"/>
          <w:rFonts w:ascii="Arial" w:hAnsi="Arial" w:cs="Arial"/>
          <w:szCs w:val="20"/>
        </w:rPr>
        <w:footnoteReference w:id="16"/>
      </w:r>
      <w:r w:rsidRPr="00F37843">
        <w:rPr>
          <w:rFonts w:ascii="Arial" w:hAnsi="Arial"/>
          <w:sz w:val="20"/>
        </w:rPr>
        <w:t xml:space="preserve"> Gemäß Artikel 14 der Delegierten Verordnung (EU) 2015/63 der Kommission müssen die Institute den nationalen Abwicklungsbehörden die Daten so übermitteln, dass sie dem SRB bis zum 31. Januar 2027 übermittelt werden können.</w:t>
      </w:r>
    </w:p>
    <w:p w14:paraId="58090DD0" w14:textId="77777777" w:rsidR="00A61424" w:rsidRPr="00F37843" w:rsidRDefault="00A61424" w:rsidP="001921D2">
      <w:pPr>
        <w:spacing w:before="120" w:after="120" w:line="259" w:lineRule="auto"/>
        <w:ind w:left="426"/>
        <w:jc w:val="both"/>
        <w:rPr>
          <w:rFonts w:ascii="Arial" w:hAnsi="Arial" w:cs="Arial"/>
          <w:sz w:val="20"/>
          <w:szCs w:val="20"/>
        </w:rPr>
      </w:pPr>
    </w:p>
    <w:p w14:paraId="7047A532" w14:textId="7811BBC0" w:rsidR="003A3A78" w:rsidRPr="00F37843" w:rsidRDefault="00FD30D1" w:rsidP="00AB73C9">
      <w:pPr>
        <w:pStyle w:val="Heading2"/>
        <w:spacing w:before="120" w:after="120"/>
        <w:ind w:left="426" w:hanging="426"/>
        <w:rPr>
          <w:rFonts w:ascii="Arial" w:hAnsi="Arial" w:cs="Arial"/>
          <w:sz w:val="20"/>
          <w:szCs w:val="20"/>
        </w:rPr>
      </w:pPr>
      <w:r w:rsidRPr="00F37843">
        <w:rPr>
          <w:rFonts w:ascii="Arial" w:hAnsi="Arial"/>
          <w:sz w:val="20"/>
        </w:rPr>
        <w:t>HAT FOLGENDEN BESCHLUSS ERLASSEN:</w:t>
      </w:r>
    </w:p>
    <w:p w14:paraId="15247B63" w14:textId="77777777" w:rsidR="00AB73C9" w:rsidRPr="00F37843" w:rsidRDefault="00AB73C9" w:rsidP="00AB73C9">
      <w:pPr>
        <w:rPr>
          <w:rFonts w:ascii="Arial" w:hAnsi="Arial" w:cs="Arial"/>
        </w:rPr>
      </w:pPr>
    </w:p>
    <w:p w14:paraId="49751B53" w14:textId="77777777" w:rsidR="00FD30D1" w:rsidRPr="00F37843" w:rsidRDefault="00FD30D1" w:rsidP="00362AD4">
      <w:pPr>
        <w:pStyle w:val="Heading4"/>
        <w:spacing w:before="120" w:after="120"/>
        <w:ind w:left="426" w:hanging="426"/>
        <w:jc w:val="center"/>
        <w:rPr>
          <w:rFonts w:ascii="Arial" w:hAnsi="Arial" w:cs="Arial"/>
          <w:sz w:val="20"/>
          <w:szCs w:val="20"/>
        </w:rPr>
      </w:pPr>
      <w:r w:rsidRPr="00F37843">
        <w:rPr>
          <w:rFonts w:ascii="Arial" w:hAnsi="Arial"/>
          <w:sz w:val="20"/>
        </w:rPr>
        <w:t>Artikel 1</w:t>
      </w:r>
    </w:p>
    <w:p w14:paraId="2CA60968" w14:textId="3EF04B7B" w:rsidR="00FD30D1" w:rsidRPr="00F37843" w:rsidRDefault="00FD30D1" w:rsidP="00362AD4">
      <w:pPr>
        <w:spacing w:before="120" w:after="120" w:line="259" w:lineRule="auto"/>
        <w:ind w:left="426" w:hanging="426"/>
        <w:jc w:val="center"/>
        <w:rPr>
          <w:rFonts w:ascii="Arial" w:hAnsi="Arial" w:cs="Arial"/>
          <w:b/>
          <w:bCs/>
          <w:sz w:val="20"/>
          <w:szCs w:val="20"/>
        </w:rPr>
      </w:pPr>
      <w:r w:rsidRPr="00F37843">
        <w:rPr>
          <w:rFonts w:ascii="Arial" w:hAnsi="Arial"/>
          <w:b/>
          <w:i/>
          <w:sz w:val="20"/>
        </w:rPr>
        <w:t>Meldebogen 2027</w:t>
      </w:r>
    </w:p>
    <w:p w14:paraId="78C3B4D8" w14:textId="3219EA12" w:rsidR="00FD30D1" w:rsidRPr="00F37843" w:rsidRDefault="00547774" w:rsidP="001921D2">
      <w:pPr>
        <w:spacing w:before="120" w:after="120" w:line="259" w:lineRule="auto"/>
        <w:jc w:val="both"/>
        <w:rPr>
          <w:rFonts w:ascii="Arial" w:hAnsi="Arial" w:cs="Arial"/>
          <w:b/>
          <w:bCs/>
          <w:sz w:val="20"/>
          <w:szCs w:val="20"/>
        </w:rPr>
      </w:pPr>
      <w:r w:rsidRPr="00F37843">
        <w:rPr>
          <w:rFonts w:ascii="Arial" w:hAnsi="Arial"/>
          <w:sz w:val="20"/>
        </w:rPr>
        <w:t>Die in Anhang I aufgeführten Datenformate und Darstellungsformen für die Meldung von Informationen, die für die Berechnung der jährlichen Beiträge zum SRF für 2027 erforderlich sind, werden hiermit genehmigt.</w:t>
      </w:r>
    </w:p>
    <w:p w14:paraId="5E6F116C" w14:textId="77777777" w:rsidR="00362AD4" w:rsidRPr="00F37843" w:rsidRDefault="00362AD4" w:rsidP="00362AD4">
      <w:pPr>
        <w:pStyle w:val="Heading4"/>
        <w:spacing w:before="120" w:after="120"/>
        <w:ind w:left="426" w:hanging="426"/>
        <w:jc w:val="center"/>
        <w:rPr>
          <w:rFonts w:ascii="Arial" w:hAnsi="Arial" w:cs="Arial"/>
          <w:sz w:val="20"/>
          <w:szCs w:val="20"/>
        </w:rPr>
      </w:pPr>
    </w:p>
    <w:p w14:paraId="06FDA90D" w14:textId="238C74F1" w:rsidR="00FD30D1" w:rsidRPr="00F37843" w:rsidRDefault="00FD30D1" w:rsidP="00362AD4">
      <w:pPr>
        <w:pStyle w:val="Heading4"/>
        <w:spacing w:before="120" w:after="120"/>
        <w:ind w:left="426" w:hanging="426"/>
        <w:jc w:val="center"/>
        <w:rPr>
          <w:rFonts w:ascii="Arial" w:hAnsi="Arial" w:cs="Arial"/>
          <w:sz w:val="20"/>
          <w:szCs w:val="20"/>
        </w:rPr>
      </w:pPr>
      <w:r w:rsidRPr="00F37843">
        <w:rPr>
          <w:rFonts w:ascii="Arial" w:hAnsi="Arial"/>
          <w:sz w:val="20"/>
        </w:rPr>
        <w:t>Artikel 2</w:t>
      </w:r>
    </w:p>
    <w:p w14:paraId="4C4AFE76" w14:textId="273588AF" w:rsidR="00FD30D1" w:rsidRPr="00F37843" w:rsidRDefault="0019598D" w:rsidP="00362AD4">
      <w:pPr>
        <w:spacing w:before="120" w:after="120" w:line="259" w:lineRule="auto"/>
        <w:ind w:left="426" w:hanging="426"/>
        <w:jc w:val="center"/>
        <w:rPr>
          <w:rFonts w:ascii="Arial" w:hAnsi="Arial" w:cs="Arial"/>
          <w:b/>
          <w:bCs/>
          <w:i/>
          <w:sz w:val="20"/>
          <w:szCs w:val="20"/>
        </w:rPr>
      </w:pPr>
      <w:r w:rsidRPr="00F37843">
        <w:rPr>
          <w:rFonts w:ascii="Arial" w:hAnsi="Arial"/>
          <w:b/>
          <w:i/>
          <w:sz w:val="20"/>
        </w:rPr>
        <w:t>Anforderungen bezüglich einer zusätzlichen Zusicherung für 2027</w:t>
      </w:r>
    </w:p>
    <w:p w14:paraId="5575B7D8" w14:textId="5B5CA358" w:rsidR="00BB4ED4" w:rsidRPr="00F37843" w:rsidRDefault="00343272" w:rsidP="001921D2">
      <w:pPr>
        <w:spacing w:before="120" w:after="120" w:line="259" w:lineRule="auto"/>
        <w:jc w:val="both"/>
        <w:rPr>
          <w:rFonts w:ascii="Arial" w:hAnsi="Arial" w:cs="Arial"/>
          <w:sz w:val="20"/>
          <w:szCs w:val="20"/>
        </w:rPr>
      </w:pPr>
      <w:r w:rsidRPr="00F37843">
        <w:rPr>
          <w:rFonts w:ascii="Arial" w:hAnsi="Arial"/>
          <w:sz w:val="20"/>
        </w:rPr>
        <w:t>Die in Anhang II aufgeführten Anforderungen bezüglich einer zusätzlichen Zusicherung für 2027 werden hiermit genehmigt.</w:t>
      </w:r>
    </w:p>
    <w:p w14:paraId="7410CB2F" w14:textId="0BF344B5" w:rsidR="00FD30D1" w:rsidRPr="00F37843" w:rsidRDefault="00BB4ED4" w:rsidP="001921D2">
      <w:pPr>
        <w:spacing w:before="120" w:after="120" w:line="259" w:lineRule="auto"/>
        <w:jc w:val="both"/>
        <w:rPr>
          <w:rFonts w:ascii="Arial" w:hAnsi="Arial" w:cs="Arial"/>
          <w:sz w:val="20"/>
          <w:szCs w:val="20"/>
        </w:rPr>
      </w:pPr>
      <w:r w:rsidRPr="00F37843">
        <w:rPr>
          <w:rFonts w:ascii="Arial" w:hAnsi="Arial"/>
          <w:sz w:val="20"/>
        </w:rPr>
        <w:t>Die Anforderungen bezüglich einer zusätzlichen Zusicherung für 2027 werden wirksam und gelten für die Daten von 2027 von Instituten im Anwendungsbereich des Beitragszeitraums 2027, sobald der SRB einen Beschluss erlassen hat, in dem festgelegt wird, dass die Beiträge zum SRF auf der Grundlage der von den Instituten im Anwendungsbereich des Beitragszeitraums 2027 übermittelten Meldebögen für 2027 berechnet und erhoben werden.</w:t>
      </w:r>
    </w:p>
    <w:p w14:paraId="1B50DEEF" w14:textId="77777777" w:rsidR="00362AD4" w:rsidRPr="00F37843" w:rsidRDefault="00362AD4" w:rsidP="00362AD4">
      <w:pPr>
        <w:pStyle w:val="Heading4"/>
        <w:spacing w:before="120" w:after="120"/>
        <w:ind w:left="426" w:hanging="426"/>
        <w:jc w:val="center"/>
        <w:rPr>
          <w:rFonts w:ascii="Arial" w:hAnsi="Arial" w:cs="Arial"/>
          <w:sz w:val="20"/>
          <w:szCs w:val="20"/>
        </w:rPr>
      </w:pPr>
    </w:p>
    <w:p w14:paraId="638CC693" w14:textId="65FC4E33" w:rsidR="00D90279" w:rsidRPr="00F37843" w:rsidRDefault="00D90279" w:rsidP="00362AD4">
      <w:pPr>
        <w:pStyle w:val="Heading4"/>
        <w:spacing w:before="120" w:after="120"/>
        <w:ind w:left="426" w:hanging="426"/>
        <w:jc w:val="center"/>
        <w:rPr>
          <w:rFonts w:ascii="Arial" w:hAnsi="Arial" w:cs="Arial"/>
          <w:sz w:val="20"/>
          <w:szCs w:val="20"/>
        </w:rPr>
      </w:pPr>
      <w:r w:rsidRPr="00F37843">
        <w:rPr>
          <w:rFonts w:ascii="Arial" w:hAnsi="Arial"/>
          <w:sz w:val="20"/>
        </w:rPr>
        <w:t>Artikel 3</w:t>
      </w:r>
    </w:p>
    <w:p w14:paraId="2AAAD0E4" w14:textId="091D7436" w:rsidR="00D90279" w:rsidRPr="00F37843" w:rsidRDefault="00D90279" w:rsidP="00362AD4">
      <w:pPr>
        <w:spacing w:before="120" w:after="120" w:line="259" w:lineRule="auto"/>
        <w:ind w:left="426" w:hanging="426"/>
        <w:jc w:val="center"/>
        <w:rPr>
          <w:rFonts w:ascii="Arial" w:hAnsi="Arial" w:cs="Arial"/>
          <w:b/>
          <w:bCs/>
          <w:i/>
          <w:sz w:val="20"/>
          <w:szCs w:val="20"/>
        </w:rPr>
      </w:pPr>
      <w:r w:rsidRPr="00F37843">
        <w:rPr>
          <w:rFonts w:ascii="Arial" w:hAnsi="Arial"/>
          <w:b/>
          <w:i/>
          <w:sz w:val="20"/>
        </w:rPr>
        <w:t>Leitfaden 2027</w:t>
      </w:r>
    </w:p>
    <w:p w14:paraId="761C8C59" w14:textId="7A78BDE8" w:rsidR="00D90279" w:rsidRPr="00F37843" w:rsidRDefault="00D90279" w:rsidP="001921D2">
      <w:pPr>
        <w:spacing w:before="120" w:after="120" w:line="259" w:lineRule="auto"/>
        <w:jc w:val="both"/>
        <w:rPr>
          <w:rFonts w:ascii="Arial" w:hAnsi="Arial" w:cs="Arial"/>
          <w:sz w:val="20"/>
          <w:szCs w:val="20"/>
        </w:rPr>
      </w:pPr>
      <w:r w:rsidRPr="00F37843">
        <w:rPr>
          <w:rFonts w:ascii="Arial" w:hAnsi="Arial"/>
          <w:sz w:val="20"/>
        </w:rPr>
        <w:t>Der in Anhang III enthaltene Leitfaden 2027 zum Meldebogen 2027 wird hiermit genehmigt.</w:t>
      </w:r>
    </w:p>
    <w:p w14:paraId="1E68551D" w14:textId="77777777" w:rsidR="007D2099" w:rsidRPr="00F37843" w:rsidRDefault="007D2099" w:rsidP="001921D2">
      <w:pPr>
        <w:spacing w:before="120" w:after="120" w:line="259" w:lineRule="auto"/>
        <w:jc w:val="both"/>
        <w:rPr>
          <w:rFonts w:ascii="Arial" w:hAnsi="Arial" w:cs="Arial"/>
          <w:sz w:val="20"/>
          <w:szCs w:val="20"/>
        </w:rPr>
      </w:pPr>
    </w:p>
    <w:p w14:paraId="434FAD81" w14:textId="2EC18932" w:rsidR="00FD30D1" w:rsidRPr="00F37843" w:rsidRDefault="00FD30D1" w:rsidP="00362AD4">
      <w:pPr>
        <w:pStyle w:val="Heading4"/>
        <w:spacing w:before="120" w:after="120"/>
        <w:ind w:left="426" w:hanging="426"/>
        <w:jc w:val="center"/>
        <w:rPr>
          <w:rFonts w:ascii="Arial" w:hAnsi="Arial" w:cs="Arial"/>
          <w:sz w:val="20"/>
          <w:szCs w:val="20"/>
        </w:rPr>
      </w:pPr>
      <w:r w:rsidRPr="00F37843">
        <w:rPr>
          <w:rFonts w:ascii="Arial" w:hAnsi="Arial"/>
          <w:sz w:val="20"/>
        </w:rPr>
        <w:t>Artikel 4</w:t>
      </w:r>
    </w:p>
    <w:p w14:paraId="62C00933" w14:textId="55BEEA55" w:rsidR="00FD30D1" w:rsidRPr="00F37843" w:rsidRDefault="0048041B" w:rsidP="00362AD4">
      <w:pPr>
        <w:spacing w:before="120" w:after="120" w:line="259" w:lineRule="auto"/>
        <w:ind w:left="426" w:hanging="426"/>
        <w:jc w:val="center"/>
        <w:rPr>
          <w:rFonts w:ascii="Arial" w:hAnsi="Arial" w:cs="Arial"/>
          <w:b/>
          <w:bCs/>
          <w:sz w:val="20"/>
          <w:szCs w:val="20"/>
        </w:rPr>
      </w:pPr>
      <w:r w:rsidRPr="00F37843">
        <w:rPr>
          <w:rFonts w:ascii="Arial" w:hAnsi="Arial"/>
          <w:b/>
          <w:i/>
          <w:sz w:val="20"/>
        </w:rPr>
        <w:t>Mitteilung</w:t>
      </w:r>
    </w:p>
    <w:p w14:paraId="7C2DD379" w14:textId="7F7C1DE3" w:rsidR="00FD30D1" w:rsidRPr="00F37843" w:rsidRDefault="0048041B" w:rsidP="00A43980">
      <w:pPr>
        <w:spacing w:before="120" w:after="120" w:line="259" w:lineRule="auto"/>
        <w:jc w:val="both"/>
        <w:rPr>
          <w:rFonts w:ascii="Arial" w:hAnsi="Arial" w:cs="Arial"/>
          <w:sz w:val="20"/>
          <w:szCs w:val="20"/>
        </w:rPr>
      </w:pPr>
      <w:r w:rsidRPr="00F37843">
        <w:rPr>
          <w:rFonts w:ascii="Arial" w:hAnsi="Arial"/>
          <w:sz w:val="20"/>
        </w:rPr>
        <w:t>Diese Entscheidung wird den nationalen Abwicklungsbehörden mitgeteilt und ist den Instituten von den nationalen Abwicklungsbehörden mitzuteilen.</w:t>
      </w:r>
    </w:p>
    <w:p w14:paraId="3747B7E7" w14:textId="77777777" w:rsidR="00FD30D1" w:rsidRPr="00F37843" w:rsidRDefault="00FD30D1" w:rsidP="001921D2">
      <w:pPr>
        <w:spacing w:before="120" w:after="120" w:line="259" w:lineRule="auto"/>
        <w:ind w:left="426" w:hanging="426"/>
        <w:rPr>
          <w:rFonts w:ascii="Arial" w:hAnsi="Arial" w:cs="Arial"/>
          <w:sz w:val="20"/>
          <w:szCs w:val="20"/>
        </w:rPr>
      </w:pPr>
      <w:r w:rsidRPr="00F37843">
        <w:rPr>
          <w:rFonts w:ascii="Arial" w:hAnsi="Arial"/>
          <w:sz w:val="20"/>
        </w:rPr>
        <w:t>Geschehen zu Brüssel,</w:t>
      </w:r>
    </w:p>
    <w:p w14:paraId="5566EAAA" w14:textId="77777777" w:rsidR="00FD30D1" w:rsidRPr="00F37843" w:rsidRDefault="00FD30D1" w:rsidP="001921D2">
      <w:pPr>
        <w:spacing w:before="120" w:after="120" w:line="259" w:lineRule="auto"/>
        <w:ind w:left="426" w:hanging="426"/>
        <w:rPr>
          <w:rFonts w:ascii="Arial" w:hAnsi="Arial" w:cs="Arial"/>
          <w:i/>
          <w:iCs/>
          <w:sz w:val="20"/>
          <w:szCs w:val="20"/>
        </w:rPr>
      </w:pPr>
      <w:r w:rsidRPr="00F37843">
        <w:rPr>
          <w:rFonts w:ascii="Arial" w:hAnsi="Arial"/>
          <w:i/>
          <w:sz w:val="20"/>
        </w:rPr>
        <w:t>Für den Einheitlichen Abwicklungsausschuss</w:t>
      </w:r>
    </w:p>
    <w:p w14:paraId="388BB37E" w14:textId="77777777" w:rsidR="00FD30D1" w:rsidRPr="00F37843" w:rsidRDefault="00FD30D1" w:rsidP="001921D2">
      <w:pPr>
        <w:spacing w:before="120" w:after="120" w:line="259" w:lineRule="auto"/>
        <w:ind w:left="426" w:hanging="426"/>
        <w:rPr>
          <w:rFonts w:ascii="Arial" w:hAnsi="Arial" w:cs="Arial"/>
          <w:sz w:val="20"/>
          <w:szCs w:val="20"/>
        </w:rPr>
      </w:pPr>
    </w:p>
    <w:p w14:paraId="6271B13A" w14:textId="77777777" w:rsidR="00FD30D1" w:rsidRPr="00F37843" w:rsidRDefault="00FD30D1" w:rsidP="001921D2">
      <w:pPr>
        <w:spacing w:before="120" w:after="120" w:line="259" w:lineRule="auto"/>
        <w:ind w:left="426" w:hanging="426"/>
        <w:rPr>
          <w:rFonts w:ascii="Arial" w:hAnsi="Arial" w:cs="Arial"/>
          <w:sz w:val="20"/>
          <w:szCs w:val="20"/>
        </w:rPr>
      </w:pPr>
    </w:p>
    <w:p w14:paraId="3EA8F0B6" w14:textId="77777777" w:rsidR="00FD30D1" w:rsidRPr="00F37843" w:rsidRDefault="00FD30D1" w:rsidP="001921D2">
      <w:pPr>
        <w:spacing w:before="120" w:after="120" w:line="259" w:lineRule="auto"/>
        <w:ind w:left="426" w:hanging="426"/>
        <w:rPr>
          <w:rFonts w:ascii="Arial" w:hAnsi="Arial" w:cs="Arial"/>
          <w:sz w:val="20"/>
          <w:szCs w:val="20"/>
        </w:rPr>
      </w:pPr>
    </w:p>
    <w:p w14:paraId="72274C82" w14:textId="77777777" w:rsidR="00FD30D1" w:rsidRPr="00F37843" w:rsidRDefault="00FD30D1" w:rsidP="001921D2">
      <w:pPr>
        <w:spacing w:before="120" w:after="120" w:line="259" w:lineRule="auto"/>
        <w:ind w:left="426" w:hanging="426"/>
        <w:rPr>
          <w:rFonts w:ascii="Arial" w:hAnsi="Arial" w:cs="Arial"/>
          <w:i/>
          <w:iCs/>
          <w:sz w:val="20"/>
          <w:szCs w:val="20"/>
        </w:rPr>
      </w:pPr>
      <w:r w:rsidRPr="00F37843">
        <w:rPr>
          <w:rFonts w:ascii="Arial" w:hAnsi="Arial"/>
          <w:i/>
          <w:sz w:val="20"/>
        </w:rPr>
        <w:t>Vorsitzender</w:t>
      </w:r>
    </w:p>
    <w:p w14:paraId="3FA5426A" w14:textId="77890C8D" w:rsidR="002C7D02" w:rsidRPr="00F37843" w:rsidRDefault="00195E72" w:rsidP="00362AD4">
      <w:pPr>
        <w:spacing w:before="120" w:after="120" w:line="259" w:lineRule="auto"/>
        <w:ind w:left="426" w:hanging="426"/>
        <w:rPr>
          <w:rFonts w:ascii="Arial" w:hAnsi="Arial" w:cs="Arial"/>
          <w:i/>
          <w:iCs/>
          <w:sz w:val="20"/>
          <w:szCs w:val="20"/>
        </w:rPr>
      </w:pPr>
      <w:r w:rsidRPr="00F37843">
        <w:rPr>
          <w:rFonts w:ascii="Arial" w:hAnsi="Arial"/>
          <w:i/>
          <w:sz w:val="20"/>
        </w:rPr>
        <w:t>Dominique Laboureix</w:t>
      </w:r>
    </w:p>
    <w:p w14:paraId="5FB37841" w14:textId="77777777" w:rsidR="00362AD4" w:rsidRPr="00F37843" w:rsidRDefault="00362AD4" w:rsidP="00362AD4">
      <w:pPr>
        <w:spacing w:before="120" w:after="120" w:line="259" w:lineRule="auto"/>
        <w:ind w:left="426" w:hanging="426"/>
        <w:rPr>
          <w:rFonts w:ascii="Arial" w:hAnsi="Arial" w:cs="Arial"/>
          <w:i/>
          <w:iCs/>
          <w:sz w:val="20"/>
          <w:szCs w:val="20"/>
        </w:rPr>
      </w:pPr>
    </w:p>
    <w:p w14:paraId="467F6802" w14:textId="4A479B4F" w:rsidR="002C7D02" w:rsidRPr="00F37843" w:rsidRDefault="002C7D02" w:rsidP="00A3690F">
      <w:pPr>
        <w:tabs>
          <w:tab w:val="left" w:pos="9498"/>
        </w:tabs>
        <w:spacing w:before="120" w:after="120" w:line="288" w:lineRule="auto"/>
        <w:jc w:val="both"/>
        <w:rPr>
          <w:rFonts w:ascii="Arial" w:eastAsia="Times New Roman" w:hAnsi="Arial" w:cs="Arial"/>
          <w:b/>
          <w:sz w:val="20"/>
          <w:u w:val="single"/>
        </w:rPr>
      </w:pPr>
      <w:r w:rsidRPr="00F37843">
        <w:rPr>
          <w:rFonts w:ascii="Arial" w:hAnsi="Arial"/>
          <w:b/>
          <w:sz w:val="20"/>
          <w:u w:val="single"/>
        </w:rPr>
        <w:t xml:space="preserve">Anhänge </w:t>
      </w:r>
      <w:r w:rsidRPr="00F37843">
        <w:rPr>
          <w:rFonts w:ascii="Arial" w:hAnsi="Arial"/>
          <w:b/>
          <w:sz w:val="20"/>
          <w:u w:val="single"/>
        </w:rPr>
        <w:tab/>
      </w:r>
    </w:p>
    <w:p w14:paraId="20C5E7AD" w14:textId="77777777" w:rsidR="002C7D02" w:rsidRPr="00F37843" w:rsidRDefault="002C7D02" w:rsidP="001921D2">
      <w:pPr>
        <w:spacing w:before="120" w:after="120" w:line="288" w:lineRule="auto"/>
        <w:jc w:val="both"/>
        <w:rPr>
          <w:rFonts w:ascii="Arial" w:eastAsia="Times New Roman" w:hAnsi="Arial" w:cs="Arial"/>
          <w:sz w:val="20"/>
        </w:rPr>
      </w:pPr>
    </w:p>
    <w:p w14:paraId="643EDBC7" w14:textId="0E9F9026" w:rsidR="002C7D02" w:rsidRPr="00F37843" w:rsidRDefault="002C7D02" w:rsidP="00CB5D8D">
      <w:pPr>
        <w:spacing w:before="120" w:after="120" w:line="288" w:lineRule="auto"/>
        <w:ind w:left="1843" w:hanging="1865"/>
        <w:jc w:val="both"/>
        <w:rPr>
          <w:rFonts w:ascii="Arial" w:eastAsia="Times New Roman" w:hAnsi="Arial" w:cs="Arial"/>
          <w:b/>
          <w:sz w:val="20"/>
        </w:rPr>
      </w:pPr>
      <w:r w:rsidRPr="00F37843">
        <w:rPr>
          <w:rFonts w:ascii="Arial" w:hAnsi="Arial"/>
          <w:b/>
          <w:sz w:val="20"/>
        </w:rPr>
        <w:t>Anhang I.</w:t>
      </w:r>
      <w:r w:rsidRPr="00F37843">
        <w:rPr>
          <w:rFonts w:ascii="Arial" w:hAnsi="Arial"/>
          <w:b/>
          <w:sz w:val="20"/>
        </w:rPr>
        <w:tab/>
        <w:t>Meldeformular 2027</w:t>
      </w:r>
    </w:p>
    <w:p w14:paraId="55BB0421" w14:textId="2F8E30A7" w:rsidR="002C7D02" w:rsidRPr="00F37843" w:rsidRDefault="002C7D02" w:rsidP="00CB5D8D">
      <w:pPr>
        <w:spacing w:before="120" w:after="120" w:line="288" w:lineRule="auto"/>
        <w:ind w:left="1843" w:hanging="1865"/>
        <w:jc w:val="both"/>
        <w:rPr>
          <w:rFonts w:ascii="Arial" w:eastAsia="Times New Roman" w:hAnsi="Arial" w:cs="Arial"/>
          <w:b/>
          <w:sz w:val="20"/>
        </w:rPr>
      </w:pPr>
      <w:r w:rsidRPr="00F37843">
        <w:rPr>
          <w:rFonts w:ascii="Arial" w:hAnsi="Arial"/>
          <w:b/>
          <w:sz w:val="20"/>
        </w:rPr>
        <w:t>Anhang II.</w:t>
      </w:r>
      <w:r w:rsidRPr="00F37843">
        <w:rPr>
          <w:rFonts w:ascii="Arial" w:hAnsi="Arial"/>
          <w:b/>
          <w:sz w:val="20"/>
        </w:rPr>
        <w:tab/>
        <w:t>Anforderungen bezüglich einer zusätzlichen Zusicherung für 2027</w:t>
      </w:r>
    </w:p>
    <w:p w14:paraId="029A41DB" w14:textId="7CED4B7C" w:rsidR="002C7D02" w:rsidRPr="00F37843" w:rsidRDefault="002C7D02" w:rsidP="001921D2">
      <w:pPr>
        <w:spacing w:before="120" w:after="120" w:line="288" w:lineRule="auto"/>
        <w:ind w:left="1843" w:hanging="1843"/>
        <w:jc w:val="both"/>
        <w:rPr>
          <w:rFonts w:ascii="Arial" w:eastAsia="Times New Roman" w:hAnsi="Arial" w:cs="Arial"/>
          <w:b/>
          <w:sz w:val="20"/>
        </w:rPr>
      </w:pPr>
      <w:r w:rsidRPr="00F37843">
        <w:rPr>
          <w:rFonts w:ascii="Arial" w:hAnsi="Arial"/>
          <w:b/>
          <w:sz w:val="20"/>
        </w:rPr>
        <w:t>Anhang III.</w:t>
      </w:r>
      <w:r w:rsidRPr="00F37843">
        <w:rPr>
          <w:rFonts w:ascii="Arial" w:hAnsi="Arial"/>
          <w:b/>
          <w:sz w:val="20"/>
        </w:rPr>
        <w:tab/>
        <w:t>Leitfaden 2027</w:t>
      </w:r>
    </w:p>
    <w:p w14:paraId="72DD1631" w14:textId="77777777" w:rsidR="002C7D02" w:rsidRPr="00F37843" w:rsidRDefault="002C7D02" w:rsidP="001921D2">
      <w:pPr>
        <w:spacing w:before="120" w:after="120" w:line="288" w:lineRule="auto"/>
        <w:jc w:val="both"/>
        <w:rPr>
          <w:rFonts w:ascii="Arial" w:eastAsia="Times New Roman" w:hAnsi="Arial" w:cs="Arial"/>
          <w:sz w:val="20"/>
        </w:rPr>
      </w:pPr>
    </w:p>
    <w:p w14:paraId="6D9D4C27" w14:textId="77777777" w:rsidR="002C7D02" w:rsidRPr="00F37843" w:rsidRDefault="002C7D02" w:rsidP="001921D2">
      <w:pPr>
        <w:spacing w:before="120" w:after="120"/>
        <w:rPr>
          <w:rFonts w:ascii="Arial" w:hAnsi="Arial" w:cs="Arial"/>
          <w:sz w:val="20"/>
          <w:szCs w:val="20"/>
        </w:rPr>
      </w:pPr>
    </w:p>
    <w:sectPr w:rsidR="002C7D02" w:rsidRPr="00F37843" w:rsidSect="009C221C">
      <w:headerReference w:type="even" r:id="rId13"/>
      <w:headerReference w:type="default" r:id="rId14"/>
      <w:footerReference w:type="even" r:id="rId15"/>
      <w:footerReference w:type="default" r:id="rId16"/>
      <w:headerReference w:type="first" r:id="rId17"/>
      <w:footerReference w:type="first" r:id="rId18"/>
      <w:pgSz w:w="11906" w:h="16838" w:code="9"/>
      <w:pgMar w:top="993" w:right="1134" w:bottom="851" w:left="1134" w:header="709" w:footer="4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D7773" w14:textId="77777777" w:rsidR="00856E87" w:rsidRPr="00F37843" w:rsidRDefault="00856E87" w:rsidP="00AA7711">
      <w:r w:rsidRPr="00F37843">
        <w:separator/>
      </w:r>
    </w:p>
  </w:endnote>
  <w:endnote w:type="continuationSeparator" w:id="0">
    <w:p w14:paraId="431B6DCB" w14:textId="77777777" w:rsidR="00856E87" w:rsidRPr="00F37843" w:rsidRDefault="00856E87" w:rsidP="00AA7711">
      <w:r w:rsidRPr="00F37843">
        <w:continuationSeparator/>
      </w:r>
    </w:p>
  </w:endnote>
  <w:endnote w:type="continuationNotice" w:id="1">
    <w:p w14:paraId="299C4C59" w14:textId="77777777" w:rsidR="00856E87" w:rsidRPr="00F37843" w:rsidRDefault="00856E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E529" w14:textId="77777777" w:rsidR="00F37843" w:rsidRPr="00F37843" w:rsidRDefault="00F37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W w:w="1779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502309" w:rsidRPr="00F37843" w14:paraId="2B2761B8" w14:textId="77777777" w:rsidTr="00502309">
      <w:trPr>
        <w:trHeight w:val="20"/>
      </w:trPr>
      <w:tc>
        <w:tcPr>
          <w:tcW w:w="3402" w:type="dxa"/>
        </w:tcPr>
        <w:p w14:paraId="424DBB5F" w14:textId="6B0D27B1" w:rsidR="00502309" w:rsidRPr="00F37843" w:rsidRDefault="00502309" w:rsidP="00502309">
          <w:pPr>
            <w:tabs>
              <w:tab w:val="center" w:pos="4536"/>
              <w:tab w:val="right" w:pos="9072"/>
            </w:tabs>
            <w:spacing w:before="60" w:line="240" w:lineRule="auto"/>
            <w:rPr>
              <w:noProof/>
              <w:color w:val="005EB8"/>
              <w:sz w:val="16"/>
              <w:szCs w:val="16"/>
              <w:lang w:val="en-US"/>
            </w:rPr>
          </w:pPr>
        </w:p>
      </w:tc>
      <w:tc>
        <w:tcPr>
          <w:tcW w:w="2426" w:type="dxa"/>
        </w:tcPr>
        <w:p w14:paraId="3B1A056E" w14:textId="126FEE14" w:rsidR="00502309" w:rsidRPr="00F37843" w:rsidRDefault="00502309" w:rsidP="00502309">
          <w:pPr>
            <w:tabs>
              <w:tab w:val="center" w:pos="4536"/>
              <w:tab w:val="right" w:pos="9072"/>
            </w:tabs>
            <w:spacing w:before="60" w:line="240" w:lineRule="auto"/>
            <w:rPr>
              <w:noProof/>
              <w:sz w:val="16"/>
              <w:szCs w:val="16"/>
              <w:lang w:val="en-US"/>
            </w:rPr>
          </w:pPr>
        </w:p>
      </w:tc>
      <w:tc>
        <w:tcPr>
          <w:tcW w:w="2326" w:type="dxa"/>
        </w:tcPr>
        <w:p w14:paraId="704F0D9F" w14:textId="706CA12B" w:rsidR="00502309" w:rsidRPr="00F37843" w:rsidRDefault="00502309" w:rsidP="00502309">
          <w:pPr>
            <w:tabs>
              <w:tab w:val="center" w:pos="4536"/>
              <w:tab w:val="right" w:pos="9072"/>
            </w:tabs>
            <w:spacing w:before="60" w:line="240" w:lineRule="auto"/>
            <w:ind w:left="-106"/>
            <w:rPr>
              <w:noProof/>
              <w:sz w:val="16"/>
              <w:szCs w:val="16"/>
              <w:lang w:val="en-US"/>
            </w:rPr>
          </w:pPr>
        </w:p>
      </w:tc>
      <w:tc>
        <w:tcPr>
          <w:tcW w:w="9638" w:type="dxa"/>
        </w:tcPr>
        <w:p w14:paraId="23CA839A" w14:textId="3DAB51C4" w:rsidR="00502309" w:rsidRPr="00F37843" w:rsidRDefault="00502309" w:rsidP="00502309">
          <w:pPr>
            <w:tabs>
              <w:tab w:val="center" w:pos="4536"/>
              <w:tab w:val="right" w:pos="9072"/>
            </w:tabs>
            <w:spacing w:before="60" w:line="240" w:lineRule="auto"/>
            <w:ind w:left="-108"/>
            <w:rPr>
              <w:noProof/>
              <w:sz w:val="16"/>
              <w:szCs w:val="16"/>
              <w:lang w:val="en-US"/>
            </w:rPr>
          </w:pPr>
        </w:p>
      </w:tc>
    </w:tr>
  </w:tbl>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0A2ADD" w:rsidRPr="00F37843" w14:paraId="6BA3C82F" w14:textId="77777777" w:rsidTr="000A2ADD">
      <w:trPr>
        <w:trHeight w:val="20"/>
      </w:trPr>
      <w:tc>
        <w:tcPr>
          <w:tcW w:w="9781" w:type="dxa"/>
          <w:hideMark/>
        </w:tcPr>
        <w:p w14:paraId="77AE0FDF" w14:textId="0F92270A" w:rsidR="000A2ADD" w:rsidRPr="00F37843" w:rsidRDefault="000A2ADD" w:rsidP="000A2ADD">
          <w:pPr>
            <w:tabs>
              <w:tab w:val="center" w:pos="4536"/>
              <w:tab w:val="right" w:pos="9072"/>
            </w:tabs>
            <w:spacing w:before="30"/>
            <w:jc w:val="right"/>
            <w:rPr>
              <w:noProof/>
              <w:sz w:val="16"/>
              <w:szCs w:val="16"/>
            </w:rPr>
          </w:pPr>
          <w:r w:rsidRPr="00F37843">
            <w:rPr>
              <w:color w:val="000000" w:themeColor="text1"/>
            </w:rPr>
            <w:fldChar w:fldCharType="begin"/>
          </w:r>
          <w:r w:rsidRPr="00F37843">
            <w:rPr>
              <w:color w:val="000000" w:themeColor="text1"/>
            </w:rPr>
            <w:instrText xml:space="preserve"> PAGE   \* MERGEFORMAT </w:instrText>
          </w:r>
          <w:r w:rsidRPr="00F37843">
            <w:rPr>
              <w:color w:val="000000" w:themeColor="text1"/>
            </w:rPr>
            <w:fldChar w:fldCharType="separate"/>
          </w:r>
          <w:r w:rsidR="00776389" w:rsidRPr="00F37843">
            <w:rPr>
              <w:color w:val="000000" w:themeColor="text1"/>
            </w:rPr>
            <w:t>8</w:t>
          </w:r>
          <w:r w:rsidRPr="00F37843">
            <w:rPr>
              <w:color w:val="000000" w:themeColor="text1"/>
            </w:rPr>
            <w:fldChar w:fldCharType="end"/>
          </w:r>
        </w:p>
      </w:tc>
    </w:tr>
  </w:tbl>
  <w:p w14:paraId="0CF21BE9" w14:textId="212E6A77" w:rsidR="007568D0" w:rsidRPr="00F37843" w:rsidRDefault="007568D0" w:rsidP="00502309">
    <w:pPr>
      <w:tabs>
        <w:tab w:val="center" w:pos="4536"/>
        <w:tab w:val="right" w:pos="9072"/>
      </w:tabs>
      <w:spacing w:line="240" w:lineRule="auto"/>
      <w:rPr>
        <w:rFonts w:ascii="Arial" w:eastAsia="Arial" w:hAnsi="Arial" w:cs="Times New Roman"/>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7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F1399F" w:rsidRPr="00F37843" w14:paraId="4EE424AA" w14:textId="77777777" w:rsidTr="0045154C">
      <w:trPr>
        <w:trHeight w:val="20"/>
      </w:trPr>
      <w:tc>
        <w:tcPr>
          <w:tcW w:w="3402" w:type="dxa"/>
        </w:tcPr>
        <w:p w14:paraId="75BB0233" w14:textId="77777777" w:rsidR="00F1399F" w:rsidRPr="00F37843" w:rsidRDefault="00F1399F" w:rsidP="0074369A">
          <w:pPr>
            <w:pStyle w:val="Footer"/>
            <w:rPr>
              <w:noProof/>
            </w:rPr>
          </w:pPr>
          <w:r w:rsidRPr="00F37843">
            <w:rPr>
              <w:color w:val="5E93DB" w:themeColor="accent1"/>
            </w:rPr>
            <w:br/>
          </w:r>
          <w:r w:rsidRPr="00F37843">
            <w:t>Einheitlicher Abwicklungsausschuss</w:t>
          </w:r>
        </w:p>
      </w:tc>
      <w:tc>
        <w:tcPr>
          <w:tcW w:w="2426" w:type="dxa"/>
        </w:tcPr>
        <w:p w14:paraId="2250476E" w14:textId="7E07A5C3" w:rsidR="00F1399F" w:rsidRPr="00F37843" w:rsidRDefault="00F1399F" w:rsidP="0074369A">
          <w:pPr>
            <w:pStyle w:val="Footer"/>
            <w:rPr>
              <w:noProof/>
            </w:rPr>
          </w:pPr>
          <w:r w:rsidRPr="00F37843">
            <w:t>Treurenberg 22</w:t>
          </w:r>
          <w:r w:rsidRPr="00F37843">
            <w:br/>
            <w:t>1049 Brüssel,</w:t>
          </w:r>
          <w:r w:rsidRPr="00F37843">
            <w:br/>
            <w:t>Belgien</w:t>
          </w:r>
        </w:p>
      </w:tc>
      <w:tc>
        <w:tcPr>
          <w:tcW w:w="2326" w:type="dxa"/>
        </w:tcPr>
        <w:p w14:paraId="7CD11CE6" w14:textId="77777777" w:rsidR="00F1399F" w:rsidRPr="00F37843" w:rsidRDefault="00F1399F" w:rsidP="0074369A">
          <w:pPr>
            <w:pStyle w:val="Footer"/>
            <w:rPr>
              <w:noProof/>
            </w:rPr>
          </w:pPr>
          <w:r w:rsidRPr="00F37843">
            <w:rPr>
              <w:color w:val="5E93DB" w:themeColor="accent1"/>
            </w:rPr>
            <w:t xml:space="preserve">Tel.: </w:t>
          </w:r>
          <w:r w:rsidRPr="00F37843">
            <w:rPr>
              <w:lang w:val="de-AT"/>
            </w:rPr>
            <w:t>+32 2 490 30 00</w:t>
          </w:r>
          <w:r w:rsidRPr="00F37843">
            <w:br/>
          </w:r>
          <w:r w:rsidRPr="00F37843">
            <w:rPr>
              <w:color w:val="5E93DB" w:themeColor="accent1"/>
            </w:rPr>
            <w:t>E-Mail:</w:t>
          </w:r>
          <w:r w:rsidRPr="00F37843">
            <w:t xml:space="preserve"> </w:t>
          </w:r>
          <w:r w:rsidRPr="00F37843">
            <w:rPr>
              <w:lang w:val="de-AT"/>
            </w:rPr>
            <w:t xml:space="preserve"> srb-info@srb.europa.eu</w:t>
          </w:r>
        </w:p>
      </w:tc>
      <w:tc>
        <w:tcPr>
          <w:tcW w:w="9638" w:type="dxa"/>
        </w:tcPr>
        <w:p w14:paraId="7D4EB0DE" w14:textId="3BBD3655" w:rsidR="00F1399F" w:rsidRPr="00F37843" w:rsidRDefault="00F1399F" w:rsidP="0074369A">
          <w:pPr>
            <w:pStyle w:val="Footer"/>
            <w:rPr>
              <w:noProof/>
            </w:rPr>
          </w:pPr>
          <w:r w:rsidRPr="00F37843">
            <w:rPr>
              <w:lang w:val="de-AT"/>
            </w:rPr>
            <w:br/>
            <w:t>srb.europa.eu</w:t>
          </w:r>
        </w:p>
      </w:tc>
    </w:tr>
  </w:tbl>
  <w:p w14:paraId="187209F0" w14:textId="0A1D4D62" w:rsidR="00D67D0F" w:rsidRPr="00F37843" w:rsidRDefault="00D67D0F" w:rsidP="0074369A">
    <w:pPr>
      <w:pStyle w:val="Footer"/>
      <w:rPr>
        <w:noProof/>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BD11D" w14:textId="77777777" w:rsidR="00856E87" w:rsidRPr="00F37843" w:rsidRDefault="00856E87" w:rsidP="00AA7711">
      <w:pPr>
        <w:rPr>
          <w:color w:val="005EB8" w:themeColor="text2"/>
        </w:rPr>
      </w:pPr>
      <w:r w:rsidRPr="00F37843">
        <w:rPr>
          <w:color w:val="005EB8" w:themeColor="text2"/>
        </w:rPr>
        <w:separator/>
      </w:r>
    </w:p>
  </w:footnote>
  <w:footnote w:type="continuationSeparator" w:id="0">
    <w:p w14:paraId="6E43AA3D" w14:textId="77777777" w:rsidR="00856E87" w:rsidRPr="00F37843" w:rsidRDefault="00856E87" w:rsidP="00AA7711">
      <w:pPr>
        <w:rPr>
          <w:color w:val="005EB8" w:themeColor="text2"/>
        </w:rPr>
      </w:pPr>
      <w:r w:rsidRPr="00F37843">
        <w:rPr>
          <w:color w:val="005EB8" w:themeColor="text2"/>
        </w:rPr>
        <w:continuationSeparator/>
      </w:r>
    </w:p>
  </w:footnote>
  <w:footnote w:type="continuationNotice" w:id="1">
    <w:p w14:paraId="19B00911" w14:textId="77777777" w:rsidR="00856E87" w:rsidRPr="00F37843" w:rsidRDefault="00856E87">
      <w:pPr>
        <w:spacing w:line="240" w:lineRule="auto"/>
        <w:rPr>
          <w:color w:val="005EB8" w:themeColor="text2"/>
        </w:rPr>
      </w:pPr>
    </w:p>
  </w:footnote>
  <w:footnote w:id="2">
    <w:p w14:paraId="74407373" w14:textId="73C0B9F4" w:rsidR="003533DE" w:rsidRPr="00F37843" w:rsidRDefault="003533DE" w:rsidP="00B94E33">
      <w:pPr>
        <w:pStyle w:val="FootnoteText"/>
        <w:ind w:left="284" w:hanging="284"/>
        <w:jc w:val="both"/>
        <w:rPr>
          <w:szCs w:val="16"/>
        </w:rPr>
      </w:pPr>
      <w:r w:rsidRPr="00F37843">
        <w:rPr>
          <w:rStyle w:val="FootnoteReference"/>
          <w:sz w:val="16"/>
          <w:szCs w:val="16"/>
        </w:rPr>
        <w:footnoteRef/>
      </w:r>
      <w:r w:rsidRPr="00F37843">
        <w:tab/>
        <w:t>ABl. L 225 vom 30.7.2014, S. 1.</w:t>
      </w:r>
    </w:p>
  </w:footnote>
  <w:footnote w:id="3">
    <w:p w14:paraId="5429853D" w14:textId="43AAB7AE" w:rsidR="00A454CB" w:rsidRPr="00F37843" w:rsidRDefault="00A454CB" w:rsidP="00B94E33">
      <w:pPr>
        <w:pStyle w:val="FootnoteText"/>
        <w:ind w:left="284" w:hanging="284"/>
        <w:jc w:val="both"/>
        <w:rPr>
          <w:szCs w:val="16"/>
        </w:rPr>
      </w:pPr>
      <w:r w:rsidRPr="00F37843">
        <w:rPr>
          <w:rStyle w:val="FootnoteReference"/>
          <w:sz w:val="16"/>
          <w:szCs w:val="16"/>
        </w:rPr>
        <w:footnoteRef/>
      </w:r>
      <w:r w:rsidRPr="00F37843">
        <w:tab/>
        <w:t>ABl. L 173 vom 12.6.2014, S. 190.</w:t>
      </w:r>
    </w:p>
  </w:footnote>
  <w:footnote w:id="4">
    <w:p w14:paraId="1A9B4DDD" w14:textId="075579BD" w:rsidR="00A454CB" w:rsidRPr="00F37843" w:rsidRDefault="00A454CB" w:rsidP="00B94E33">
      <w:pPr>
        <w:pStyle w:val="FootnoteText"/>
        <w:ind w:left="284" w:hanging="284"/>
        <w:jc w:val="both"/>
        <w:rPr>
          <w:szCs w:val="16"/>
        </w:rPr>
      </w:pPr>
      <w:r w:rsidRPr="00F37843">
        <w:rPr>
          <w:rStyle w:val="FootnoteReference"/>
          <w:sz w:val="16"/>
          <w:szCs w:val="16"/>
        </w:rPr>
        <w:footnoteRef/>
      </w:r>
      <w:r w:rsidRPr="00F37843">
        <w:tab/>
        <w:t>ABl. L 15 vom 22.1.2015, S. 1.</w:t>
      </w:r>
    </w:p>
  </w:footnote>
  <w:footnote w:id="5">
    <w:p w14:paraId="3CEB6FF6" w14:textId="752BEDDF" w:rsidR="00A454CB" w:rsidRPr="00F37843" w:rsidRDefault="00A454CB" w:rsidP="00B94E33">
      <w:pPr>
        <w:pStyle w:val="FootnoteText"/>
        <w:ind w:left="284" w:hanging="284"/>
        <w:jc w:val="both"/>
        <w:rPr>
          <w:sz w:val="18"/>
          <w:szCs w:val="18"/>
        </w:rPr>
      </w:pPr>
      <w:r w:rsidRPr="00F37843">
        <w:rPr>
          <w:rStyle w:val="FootnoteReference"/>
          <w:sz w:val="16"/>
          <w:szCs w:val="16"/>
        </w:rPr>
        <w:footnoteRef/>
      </w:r>
      <w:r w:rsidRPr="00F37843">
        <w:tab/>
        <w:t>ABl. L 11 vom 17.1.2015, S. 44.</w:t>
      </w:r>
    </w:p>
  </w:footnote>
  <w:footnote w:id="6">
    <w:p w14:paraId="784ED65C" w14:textId="145EB519" w:rsidR="00A454CB" w:rsidRPr="00F37843" w:rsidRDefault="00A454CB" w:rsidP="00B94E33">
      <w:pPr>
        <w:pStyle w:val="FootnoteText"/>
        <w:ind w:left="284" w:hanging="284"/>
        <w:jc w:val="both"/>
        <w:rPr>
          <w:szCs w:val="16"/>
        </w:rPr>
      </w:pPr>
      <w:r w:rsidRPr="00F37843">
        <w:rPr>
          <w:rStyle w:val="FootnoteReference"/>
          <w:sz w:val="18"/>
          <w:szCs w:val="18"/>
        </w:rPr>
        <w:footnoteRef/>
      </w:r>
      <w:r w:rsidRPr="00F37843">
        <w:rPr>
          <w:sz w:val="18"/>
        </w:rPr>
        <w:t xml:space="preserve"> </w:t>
      </w:r>
      <w:r w:rsidRPr="00F37843">
        <w:rPr>
          <w:sz w:val="18"/>
        </w:rPr>
        <w:tab/>
      </w:r>
      <w:r w:rsidRPr="00F37843">
        <w:t>Wie in Erwägungsgrund 8 der Durchführungsverordnung (EU) 2015/81 des Rates festgelegt, tritt der SRB gemäß Artikel 5 Absatz 1 der Verordnung (EU) Nr. 806/2014 für die Anwendung dieser Verordnung und der Richtlinie 2014/59/EU an die Stelle der betreffenden nationalen Abwicklungsbehörde, wenn er Aufgaben wahrnimmt oder Befugnisse ausübt, die gemäß diesen Rechtsakten von der nationalen Abwicklungsbehörde wahrzunehmen oder auszuüben sind. Deshalb sollte der SRB auch für die Zwecke der Anwendung der Delegierten Verordnung (EU) 2015/63 der Kommission an die Stelle der Abwicklungsbehörde treten. Die Bestimmungen jener Delegierten Verordnung gelten für den SRB bei der Wahrnehmung der Aufgaben und Ausübung der Befugnisse gemäß dieser Verordnung.</w:t>
      </w:r>
    </w:p>
  </w:footnote>
  <w:footnote w:id="7">
    <w:p w14:paraId="6344D716" w14:textId="7C4DA032" w:rsidR="00A61424" w:rsidRPr="00F37843" w:rsidRDefault="00A61424" w:rsidP="00B94E33">
      <w:pPr>
        <w:pStyle w:val="FootnoteText"/>
        <w:ind w:left="284" w:hanging="284"/>
        <w:jc w:val="both"/>
      </w:pPr>
      <w:r w:rsidRPr="00F37843">
        <w:rPr>
          <w:rStyle w:val="FootnoteReference"/>
        </w:rPr>
        <w:footnoteRef/>
      </w:r>
      <w:r w:rsidRPr="00F37843">
        <w:tab/>
        <w:t>Am 10. Juli 2026 übermittelte der SRB den nationalen Abwicklungsbehörden den Entwurf der Datenformate und Darstellungsformen für den Beitragszeitraum 2027.</w:t>
      </w:r>
    </w:p>
  </w:footnote>
  <w:footnote w:id="8">
    <w:p w14:paraId="5CF9C24B" w14:textId="57938679" w:rsidR="00215E5B" w:rsidRPr="00F37843" w:rsidRDefault="00215E5B" w:rsidP="00215E5B">
      <w:pPr>
        <w:pStyle w:val="FootnoteText"/>
        <w:ind w:left="284" w:hanging="284"/>
        <w:jc w:val="both"/>
      </w:pPr>
      <w:r w:rsidRPr="00F37843">
        <w:rPr>
          <w:rStyle w:val="FootnoteReference"/>
        </w:rPr>
        <w:footnoteRef/>
      </w:r>
      <w:r w:rsidRPr="00F37843">
        <w:t xml:space="preserve"> </w:t>
      </w:r>
      <w:r w:rsidRPr="00F37843">
        <w:tab/>
        <w:t>Mit Artikel 1 Absatz 2 Buchstabe a der Delegierten Verordnung (EU) 2026/440 der Kommission vom 24. Februar 2026 zur Änderung der Delegierten Verordnung (EU) 2015/63 im Hinblick auf die Berechnung der Beiträge bestimmter Institute, die Streichung eines Risikoindikators und verfahrenstechnische Änderungen (ABl. L, 440, 3.6.2026, S. 1) wurde Artikel 6 Buchstabe a Absatz 2 der Delegierten Verordnung (EU) 2015/63 der Kommission mit Wirkung zum 1. Januar 2026 aufgehoben.</w:t>
      </w:r>
    </w:p>
  </w:footnote>
  <w:footnote w:id="9">
    <w:p w14:paraId="49705D9F" w14:textId="7261E66F" w:rsidR="00F713FD" w:rsidRPr="00F37843" w:rsidRDefault="00F713FD" w:rsidP="00B3431D">
      <w:pPr>
        <w:pStyle w:val="FootnoteText"/>
        <w:ind w:left="284" w:hanging="284"/>
        <w:jc w:val="both"/>
      </w:pPr>
      <w:r w:rsidRPr="00F37843">
        <w:rPr>
          <w:rStyle w:val="FootnoteReference"/>
        </w:rPr>
        <w:footnoteRef/>
      </w:r>
      <w:r w:rsidRPr="00F37843">
        <w:t xml:space="preserve"> </w:t>
      </w:r>
      <w:r w:rsidRPr="00F37843">
        <w:tab/>
        <w:t>Mit Artikel 1 Absatz 5 der Delegierten Verordnung (EU) 2026/440 der Kommission vom 24. Februar 2026 zur Änderung der Delegierten Verordnung (EU) 2015/63 im Hinblick auf die Berechnung der Beiträge bestimmter Institute, die Streichung eines Risikoindikators und verfahrenstechnische Änderungen (ABl. L, 440, 3.6.2026, S. 1) wurde Artikel 11a in die Delegierte Verordnung (EU) 2015/63 der Kommission aufgenommen, in dem neue Modalitäten für die Festlegung der Beiträge bestimmter Wertpapierfirmen festgelegt sind.</w:t>
      </w:r>
    </w:p>
  </w:footnote>
  <w:footnote w:id="10">
    <w:p w14:paraId="33D77875" w14:textId="64888503" w:rsidR="00181692" w:rsidRPr="00F37843" w:rsidRDefault="00181692" w:rsidP="00181692">
      <w:pPr>
        <w:pStyle w:val="FootnoteText"/>
        <w:ind w:left="284" w:hanging="284"/>
        <w:jc w:val="both"/>
      </w:pPr>
      <w:r w:rsidRPr="00F37843">
        <w:rPr>
          <w:rStyle w:val="FootnoteReference"/>
        </w:rPr>
        <w:footnoteRef/>
      </w:r>
      <w:r w:rsidRPr="00F37843">
        <w:t xml:space="preserve"> Mit Artikel 5 der Verordnung (EU) 2025/2088 des Europäischen Parlaments und des Rates vom 8. Oktober 2025 zur Änderung der Verordnungen (EU) Nr. 1092/2010, (EU) Nr. 1093/2010, (EU) Nr. 1094/2010, (EU) Nr. 1095/2010, (EU) Nr. 806/2014, (EU) 2021/523 und (EU) 2024/1620 im Hinblick auf bestimmte Berichtspflichten in den Bereichen Finanzdienstleistungen und Investitionsunterstützung (ABl. L, 2025/2088, 21.10.2025) wurde Artikel 31a in die Verordnung (EU) Nr. 806/2014 aufgenommen. Nach Absatz 2 der letztgenannten Bestimmung muss der SRB unter anderem Informationen anfordern, die bereits anderen Behörden vorliegen, bevor er sie direkt von den Instituten anfordert, es sei denn, die anderen Behörden sind nicht in der Lage, die Informationen weiterzugeben, es sind dringende Maßnahmen notwendig oder die Einholung der Informationen direkt von Finanzinstituten ist für die Wahrnehmung der Aufgaben des Ausschusses gemäß dem Unionsrecht erforderlich.</w:t>
      </w:r>
    </w:p>
  </w:footnote>
  <w:footnote w:id="11">
    <w:p w14:paraId="0DA7087E" w14:textId="4C5EEB9E" w:rsidR="009F6F9A" w:rsidRPr="00F37843" w:rsidRDefault="009F6F9A" w:rsidP="009F6F9A">
      <w:pPr>
        <w:pStyle w:val="FootnoteText"/>
        <w:ind w:left="284" w:hanging="284"/>
        <w:jc w:val="both"/>
      </w:pPr>
      <w:r w:rsidRPr="00F37843">
        <w:rPr>
          <w:rStyle w:val="FootnoteReference"/>
        </w:rPr>
        <w:footnoteRef/>
      </w:r>
      <w:r w:rsidRPr="00F37843">
        <w:t xml:space="preserve"> </w:t>
      </w:r>
      <w:r w:rsidRPr="00F37843">
        <w:tab/>
        <w:t>Bei dieser Analyse wurde festgestellt, dass 60 Datenpunkte („</w:t>
      </w:r>
      <w:r w:rsidRPr="00F37843">
        <w:rPr>
          <w:b/>
        </w:rPr>
        <w:t>beschaffte Daten</w:t>
      </w:r>
      <w:r w:rsidRPr="00F37843">
        <w:t>“) – u. a. Daten zur gemeinsamen Berichterstattung (COREP) und Finanzberichterstattung (FINREP), Indikatoren für den Status von Ausnahmen auf Einzelebene, Daten zum Konsolidierungsperimeter der Gruppe, Indikatoren für das Risikoprofil auf Einzelebene und Stammdaten – bereits von anderen EU-Behörden erhoben werden.</w:t>
      </w:r>
    </w:p>
  </w:footnote>
  <w:footnote w:id="12">
    <w:p w14:paraId="5A6CEF61" w14:textId="77777777" w:rsidR="00881852" w:rsidRPr="00F37843" w:rsidRDefault="00881852" w:rsidP="00881852">
      <w:pPr>
        <w:pStyle w:val="FootnoteText"/>
        <w:ind w:left="284" w:hanging="284"/>
        <w:jc w:val="both"/>
      </w:pPr>
      <w:r w:rsidRPr="00F37843">
        <w:rPr>
          <w:rStyle w:val="FootnoteReference"/>
        </w:rPr>
        <w:footnoteRef/>
      </w:r>
      <w:r w:rsidRPr="00F37843">
        <w:t xml:space="preserve"> </w:t>
      </w:r>
      <w:r w:rsidRPr="00F37843">
        <w:tab/>
        <w:t>Am 21. Mai 2025 erließ das Gericht der Europäischen Union („</w:t>
      </w:r>
      <w:r w:rsidRPr="00F37843">
        <w:rPr>
          <w:b/>
        </w:rPr>
        <w:t>Gericht</w:t>
      </w:r>
      <w:r w:rsidRPr="00F37843">
        <w:t>“) sein Urteil in der Rechtssache T-476/23, die von der Norddeutschen Landesbank („</w:t>
      </w:r>
      <w:r w:rsidRPr="00F37843">
        <w:rPr>
          <w:b/>
        </w:rPr>
        <w:t>NDLB</w:t>
      </w:r>
      <w:r w:rsidRPr="00F37843">
        <w:t>“) eingeleitet worden war. Das Gericht wies die Nichtigkeitsklage der NDLB als unbegründet ab. Das Gericht stellte fest, dass der SRB rechtmäßig gehandelt hat, als er den Risikoindikator „Komplexität und Abwicklungsfähigkeit“ im Beitragszeitraum 2023 zum einheitlichen Abwicklungsfonds (SRF) gemäß Artikel 20 Absatz 1 der Delegierten Verordnung (EU) 2015/63 der Kommission nicht angewendet hat. Das Gericht befand, dass es sich bei „berücksichtigungsfähigen Verbindlichkeiten“ um Daten handelt, die für die Berechnung dieses Risikoindikators unerlässlich sind. Da „berücksichtigungsfähige Verbindlichkeiten“ während des Bezugszeitraums der Daten nicht für alle Institute meldepflichtig waren, war der SRB nicht verpflichtet, diesen Indikator anzuwenden.</w:t>
      </w:r>
    </w:p>
  </w:footnote>
  <w:footnote w:id="13">
    <w:p w14:paraId="7F806852" w14:textId="119DC5D6" w:rsidR="00ED7A64" w:rsidRPr="00F37843" w:rsidRDefault="00ED7A64" w:rsidP="00B94E33">
      <w:pPr>
        <w:pStyle w:val="FootnoteText"/>
        <w:ind w:left="284" w:hanging="284"/>
        <w:jc w:val="both"/>
      </w:pPr>
      <w:r w:rsidRPr="00F37843">
        <w:rPr>
          <w:rStyle w:val="FootnoteReference"/>
        </w:rPr>
        <w:footnoteRef/>
      </w:r>
      <w:r w:rsidRPr="00F37843">
        <w:t xml:space="preserve"> </w:t>
      </w:r>
      <w:r w:rsidRPr="00F37843">
        <w:tab/>
        <w:t>Durchführungsverordnung (EU) 2021/451 der Kommission vom 17. Dezember 2020 zur Festlegung technischer Durchführungsstandards für die Anwendung der Verordnung (EU) Nr. 575/2013 des Europäischen Parlaments und des Rates auf die aufsichtlichen Meldungen der Institute und zur Aufhebung der Durchführungsverordnung (EU) Nr. 680/2014.</w:t>
      </w:r>
    </w:p>
  </w:footnote>
  <w:footnote w:id="14">
    <w:p w14:paraId="79CFA364" w14:textId="77777777" w:rsidR="007D5E67" w:rsidRPr="00F37843" w:rsidRDefault="007D5E67" w:rsidP="007D5E67">
      <w:pPr>
        <w:pStyle w:val="FootnoteText"/>
        <w:ind w:left="284" w:hanging="284"/>
        <w:jc w:val="both"/>
      </w:pPr>
      <w:r w:rsidRPr="00F37843">
        <w:rPr>
          <w:rStyle w:val="FootnoteReference"/>
        </w:rPr>
        <w:footnoteRef/>
      </w:r>
      <w:r w:rsidRPr="00F37843">
        <w:t xml:space="preserve"> </w:t>
      </w:r>
      <w:r w:rsidRPr="00F37843">
        <w:tab/>
        <w:t>Der SRB hat auch die Möglichkeit geprüft, von einem Prüfer eine Zuverlässigkeitserklärung zu den Datenpunkten zu verlangen, die in den Anwendungsbereich der Anforderungen bezüglich einer zusätzlichen Zusicherung fallen, ist jedoch zu dem Schluss gelangt, dass eine solche Option eine höhere finanzielle und operative Belastung für die Institute bedeuten würde, da eine solche Zuverlässigkeitserklärung einen größeren Zeitaufwand von den Prüfern erfordern würde als vereinbarte Prüfungshandlungen.</w:t>
      </w:r>
    </w:p>
  </w:footnote>
  <w:footnote w:id="15">
    <w:p w14:paraId="2618F3AF" w14:textId="07B5D3EE" w:rsidR="007D5E67" w:rsidRPr="00F37843" w:rsidRDefault="007D5E67" w:rsidP="005C4203">
      <w:pPr>
        <w:pStyle w:val="FootnoteText"/>
        <w:ind w:left="284" w:hanging="284"/>
      </w:pPr>
      <w:r w:rsidRPr="00F37843">
        <w:rPr>
          <w:rStyle w:val="FootnoteReference"/>
        </w:rPr>
        <w:footnoteRef/>
      </w:r>
      <w:r w:rsidRPr="00F37843">
        <w:t xml:space="preserve"> </w:t>
      </w:r>
      <w:r w:rsidRPr="00F37843">
        <w:tab/>
        <w:t>Im Sinne von Artikel 88 der Eigenmittelrichtlinie 2013/36/EU.</w:t>
      </w:r>
    </w:p>
  </w:footnote>
  <w:footnote w:id="16">
    <w:p w14:paraId="503556E4" w14:textId="4E81D8E4" w:rsidR="00862748" w:rsidRPr="00F37843" w:rsidRDefault="00862748" w:rsidP="00B94E33">
      <w:pPr>
        <w:pStyle w:val="FootnoteText"/>
        <w:ind w:left="284" w:hanging="284"/>
        <w:jc w:val="both"/>
      </w:pPr>
      <w:r w:rsidRPr="00F37843">
        <w:rPr>
          <w:rStyle w:val="FootnoteReference"/>
        </w:rPr>
        <w:footnoteRef/>
      </w:r>
      <w:r w:rsidRPr="00F37843">
        <w:t xml:space="preserve"> </w:t>
      </w:r>
      <w:r w:rsidRPr="00F37843">
        <w:tab/>
        <w:t>Im Einklang mit dem SRM-Rahmen für die Zusammenarbeit bieten die nationalen Abwicklungsbehörden dem SRB operative Unterstützung im Zusammenhang mit dem Verfahren für Beiträge zum SRF. In diesem Zusammenhang hat der Gerichtshof in seinem Urteil in der Rechtssache C-414/18, Rn. 47, klargestellt, dass ausschließlich der SRB die endgültige Entscheidungsbefugnis innehat und dass die Feststellungen der nationalen Abwicklungsbehörden zur Situation eines Instituts zu einem bestimmten Zeitpunkt des Verfahrens für den SRB nicht bindend sein können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CE4E" w14:textId="77777777" w:rsidR="00F37843" w:rsidRPr="00F37843" w:rsidRDefault="00F37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04DCB" w14:textId="2EBA8A22" w:rsidR="001B0996" w:rsidRPr="00F37843" w:rsidRDefault="001B0996" w:rsidP="00362AD4">
    <w:pPr>
      <w:pStyle w:val="Header"/>
      <w:jc w:val="right"/>
      <w:rPr>
        <w:b/>
        <w:bCs/>
        <w:noProof/>
        <w:color w:val="FFCD00" w:themeColor="accent2"/>
        <w:sz w:val="24"/>
        <w:szCs w:val="24"/>
      </w:rPr>
    </w:pPr>
    <w:r w:rsidRPr="00F37843">
      <w:rPr>
        <w:b/>
        <w:noProof/>
        <w:color w:val="FFCD00" w:themeColor="accent2"/>
        <w:sz w:val="24"/>
      </w:rPr>
      <w:drawing>
        <wp:anchor distT="0" distB="0" distL="114300" distR="114300" simplePos="0" relativeHeight="251658241" behindDoc="0" locked="1" layoutInCell="1" allowOverlap="1" wp14:anchorId="37C53D63" wp14:editId="73465A3A">
          <wp:simplePos x="0" y="0"/>
          <wp:positionH relativeFrom="page">
            <wp:posOffset>540385</wp:posOffset>
          </wp:positionH>
          <wp:positionV relativeFrom="page">
            <wp:posOffset>540385</wp:posOffset>
          </wp:positionV>
          <wp:extent cx="1173600" cy="507600"/>
          <wp:effectExtent l="0" t="0" r="7620" b="6985"/>
          <wp:wrapTight wrapText="bothSides">
            <wp:wrapPolygon edited="0">
              <wp:start x="3857" y="0"/>
              <wp:lineTo x="0" y="811"/>
              <wp:lineTo x="0" y="12165"/>
              <wp:lineTo x="351" y="18653"/>
              <wp:lineTo x="3506" y="21086"/>
              <wp:lineTo x="5610" y="21086"/>
              <wp:lineTo x="9117" y="21086"/>
              <wp:lineTo x="18584" y="15409"/>
              <wp:lineTo x="21390" y="12165"/>
              <wp:lineTo x="21390" y="4055"/>
              <wp:lineTo x="5260" y="0"/>
              <wp:lineTo x="3857"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3600" cy="507600"/>
                  </a:xfrm>
                  <a:prstGeom prst="rect">
                    <a:avLst/>
                  </a:prstGeom>
                </pic:spPr>
              </pic:pic>
            </a:graphicData>
          </a:graphic>
          <wp14:sizeRelH relativeFrom="margin">
            <wp14:pctWidth>0</wp14:pctWidth>
          </wp14:sizeRelH>
          <wp14:sizeRelV relativeFrom="margin">
            <wp14:pctHeight>0</wp14:pctHeight>
          </wp14:sizeRelV>
        </wp:anchor>
      </w:drawing>
    </w:r>
    <w:r w:rsidRPr="00F37843">
      <w:rPr>
        <w:b/>
        <w:color w:val="FFCD00" w:themeColor="accent2"/>
        <w:sz w:val="24"/>
      </w:rPr>
      <w:t>SRB-GELB</w:t>
    </w:r>
  </w:p>
  <w:p w14:paraId="41F0518F" w14:textId="284C7304" w:rsidR="0043375F" w:rsidRPr="00F37843" w:rsidRDefault="0043375F" w:rsidP="00E05FDA">
    <w:pPr>
      <w:pStyle w:val="Header"/>
      <w:jc w:val="right"/>
      <w:rPr>
        <w:b/>
        <w:bCs/>
        <w:noProof/>
        <w:color w:val="005EB8" w:themeColor="text2"/>
      </w:rPr>
    </w:pPr>
  </w:p>
  <w:p w14:paraId="17E52BD5" w14:textId="77777777" w:rsidR="008143CF" w:rsidRPr="00F37843" w:rsidRDefault="008143CF" w:rsidP="00E05FDA">
    <w:pPr>
      <w:pStyle w:val="Header"/>
      <w:jc w:val="right"/>
      <w:rPr>
        <w:noProof/>
        <w:szCs w:val="18"/>
      </w:rPr>
    </w:pPr>
  </w:p>
  <w:p w14:paraId="4A59D71B" w14:textId="77777777" w:rsidR="00E05FDA" w:rsidRPr="00F37843" w:rsidRDefault="00E05FDA" w:rsidP="00F87BED">
    <w:pPr>
      <w:pStyle w:val="Header"/>
      <w:rPr>
        <w:noProof/>
        <w:szCs w:val="18"/>
      </w:rPr>
    </w:pPr>
  </w:p>
  <w:p w14:paraId="1FE5D4B0" w14:textId="4F1D2BA5" w:rsidR="00E05FDA" w:rsidRPr="00F37843" w:rsidRDefault="00E05FDA" w:rsidP="00E05FDA">
    <w:pPr>
      <w:pStyle w:val="Header"/>
      <w:jc w:val="right"/>
      <w:rPr>
        <w:noProof/>
        <w:szCs w:val="18"/>
      </w:rPr>
    </w:pPr>
  </w:p>
  <w:p w14:paraId="2D204344" w14:textId="77777777" w:rsidR="00E05FDA" w:rsidRPr="00F37843" w:rsidRDefault="00E05FDA" w:rsidP="00E05FDA">
    <w:pPr>
      <w:pStyle w:val="Header"/>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E025" w14:textId="20F1DFF5" w:rsidR="001B0996" w:rsidRPr="00F37843" w:rsidRDefault="001B0996">
    <w:pPr>
      <w:pStyle w:val="Header"/>
      <w:rPr>
        <w:noProof/>
      </w:rPr>
    </w:pPr>
    <w:r w:rsidRPr="00F37843">
      <w:rPr>
        <w:noProof/>
      </w:rPr>
      <w:drawing>
        <wp:anchor distT="0" distB="0" distL="114300" distR="114300" simplePos="0" relativeHeight="251658240" behindDoc="0" locked="1" layoutInCell="1" allowOverlap="1" wp14:anchorId="7A297EC9" wp14:editId="6D7DDE44">
          <wp:simplePos x="0" y="0"/>
          <wp:positionH relativeFrom="page">
            <wp:posOffset>540385</wp:posOffset>
          </wp:positionH>
          <wp:positionV relativeFrom="page">
            <wp:posOffset>540385</wp:posOffset>
          </wp:positionV>
          <wp:extent cx="2080800" cy="900000"/>
          <wp:effectExtent l="0" t="0" r="0" b="0"/>
          <wp:wrapTight wrapText="bothSides">
            <wp:wrapPolygon edited="0">
              <wp:start x="4154" y="0"/>
              <wp:lineTo x="2176" y="1372"/>
              <wp:lineTo x="396" y="5030"/>
              <wp:lineTo x="0" y="10061"/>
              <wp:lineTo x="0" y="10975"/>
              <wp:lineTo x="198" y="16463"/>
              <wp:lineTo x="2769" y="21036"/>
              <wp:lineTo x="3758" y="21036"/>
              <wp:lineTo x="5341" y="21036"/>
              <wp:lineTo x="7714" y="21036"/>
              <wp:lineTo x="18198" y="16006"/>
              <wp:lineTo x="18198" y="14634"/>
              <wp:lineTo x="21363" y="11890"/>
              <wp:lineTo x="21363" y="9603"/>
              <wp:lineTo x="18396" y="5945"/>
              <wp:lineTo x="14835" y="4116"/>
              <wp:lineTo x="4945" y="0"/>
              <wp:lineTo x="4154"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A0E690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16E32F9F"/>
    <w:multiLevelType w:val="hybridMultilevel"/>
    <w:tmpl w:val="6BBA5712"/>
    <w:lvl w:ilvl="0" w:tplc="425ACC0E">
      <w:start w:val="6"/>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7803A0"/>
    <w:multiLevelType w:val="hybridMultilevel"/>
    <w:tmpl w:val="9E78C888"/>
    <w:lvl w:ilvl="0" w:tplc="BCC20F36">
      <w:start w:val="1"/>
      <w:numFmt w:val="decimal"/>
      <w:pStyle w:val="Heading3"/>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EA11A4"/>
    <w:multiLevelType w:val="hybridMultilevel"/>
    <w:tmpl w:val="EB605526"/>
    <w:lvl w:ilvl="0" w:tplc="FA74F2AA">
      <w:start w:val="1"/>
      <w:numFmt w:val="lowerLetter"/>
      <w:pStyle w:val="Listnumberinga"/>
      <w:lvlText w:val="%1)"/>
      <w:lvlJc w:val="left"/>
      <w:pPr>
        <w:ind w:left="927" w:hanging="360"/>
      </w:pPr>
      <w:rPr>
        <w:rFonts w:hint="default"/>
        <w:caps w:val="0"/>
        <w:strike w:val="0"/>
        <w:dstrike w:val="0"/>
        <w:vanish w:val="0"/>
        <w:color w:val="005EB8" w:themeColor="text2"/>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38192B"/>
    <w:multiLevelType w:val="hybridMultilevel"/>
    <w:tmpl w:val="8E8888A6"/>
    <w:lvl w:ilvl="0" w:tplc="08090015">
      <w:start w:val="1"/>
      <w:numFmt w:val="upp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57AA5B58"/>
    <w:multiLevelType w:val="hybridMultilevel"/>
    <w:tmpl w:val="69E62C66"/>
    <w:lvl w:ilvl="0" w:tplc="711E070C">
      <w:start w:val="1"/>
      <w:numFmt w:val="decimal"/>
      <w:lvlText w:val="%1."/>
      <w:lvlJc w:val="left"/>
      <w:pPr>
        <w:ind w:left="360" w:hanging="360"/>
      </w:pPr>
      <w:rPr>
        <w:rFonts w:asciiTheme="minorHAnsi" w:hAnsiTheme="minorHAnsi" w:cstheme="minorHAnsi"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3752AE"/>
    <w:multiLevelType w:val="hybridMultilevel"/>
    <w:tmpl w:val="D4262E32"/>
    <w:lvl w:ilvl="0" w:tplc="41969E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C251DB"/>
    <w:multiLevelType w:val="hybridMultilevel"/>
    <w:tmpl w:val="A8D69CE8"/>
    <w:lvl w:ilvl="0" w:tplc="4BCEB35E">
      <w:start w:val="1"/>
      <w:numFmt w:val="decimal"/>
      <w:lvlText w:val="(%1)"/>
      <w:lvlJc w:val="left"/>
      <w:pPr>
        <w:ind w:left="720" w:hanging="360"/>
      </w:pPr>
      <w:rPr>
        <w:rFonts w:hint="default"/>
        <w:sz w:val="20"/>
        <w:szCs w:val="2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151A54"/>
    <w:multiLevelType w:val="hybridMultilevel"/>
    <w:tmpl w:val="3C121226"/>
    <w:lvl w:ilvl="0" w:tplc="B12A080A">
      <w:start w:val="1"/>
      <w:numFmt w:val="upperRoman"/>
      <w:lvlText w:val="%1."/>
      <w:lvlJc w:val="left"/>
      <w:pPr>
        <w:ind w:left="396" w:hanging="396"/>
      </w:pPr>
      <w:rPr>
        <w:rFonts w:asciiTheme="minorHAnsi" w:eastAsiaTheme="minorHAnsi" w:hAnsiTheme="minorHAnsi" w:cstheme="minorBidi"/>
      </w:rPr>
    </w:lvl>
    <w:lvl w:ilvl="1" w:tplc="43D6D062">
      <w:start w:val="1"/>
      <w:numFmt w:val="lowerLetter"/>
      <w:lvlText w:val="(%2)"/>
      <w:lvlJc w:val="left"/>
      <w:pPr>
        <w:ind w:left="1160" w:hanging="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361D42"/>
    <w:multiLevelType w:val="hybridMultilevel"/>
    <w:tmpl w:val="D3C01C70"/>
    <w:lvl w:ilvl="0" w:tplc="54CA2FA8">
      <w:numFmt w:val="bullet"/>
      <w:pStyle w:val="ListParagraph"/>
      <w:lvlText w:val="•"/>
      <w:lvlJc w:val="left"/>
      <w:pPr>
        <w:ind w:left="927" w:hanging="360"/>
      </w:pPr>
      <w:rPr>
        <w:rFonts w:ascii="Arial" w:hAnsi="Arial" w:hint="default"/>
        <w:caps w:val="0"/>
        <w:strike w:val="0"/>
        <w:dstrike w:val="0"/>
        <w:vanish w:val="0"/>
        <w:color w:val="005EB8" w:themeColor="text2"/>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2B10BB"/>
    <w:multiLevelType w:val="hybridMultilevel"/>
    <w:tmpl w:val="48EE20D6"/>
    <w:lvl w:ilvl="0" w:tplc="B6F42B2E">
      <w:start w:val="1"/>
      <w:numFmt w:val="decimal"/>
      <w:lvlText w:val="%1."/>
      <w:lvlJc w:val="left"/>
      <w:pPr>
        <w:ind w:left="720" w:hanging="360"/>
      </w:pPr>
      <w:rPr>
        <w:rFonts w:hint="default"/>
        <w:b w:val="0"/>
        <w:bCs w:val="0"/>
      </w:rPr>
    </w:lvl>
    <w:lvl w:ilvl="1" w:tplc="AE56CA9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2"/>
  </w:num>
  <w:num w:numId="4">
    <w:abstractNumId w:val="8"/>
  </w:num>
  <w:num w:numId="5">
    <w:abstractNumId w:val="1"/>
  </w:num>
  <w:num w:numId="6">
    <w:abstractNumId w:val="7"/>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5"/>
  </w:num>
  <w:num w:numId="20">
    <w:abstractNumId w:val="4"/>
  </w:num>
  <w:num w:numId="21">
    <w:abstractNumId w:val="9"/>
  </w:num>
  <w:num w:numId="22">
    <w:abstractNumId w:val="9"/>
  </w:num>
  <w:num w:numId="23">
    <w:abstractNumId w:val="0"/>
  </w:num>
  <w:num w:numId="24">
    <w:abstractNumId w:val="9"/>
  </w:num>
  <w:num w:numId="25">
    <w:abstractNumId w:val="9"/>
  </w:num>
  <w:num w:numId="26">
    <w:abstractNumId w:val="10"/>
  </w:num>
  <w:num w:numId="27">
    <w:abstractNumId w:val="9"/>
  </w:num>
  <w:num w:numId="28">
    <w:abstractNumId w:val="9"/>
  </w:num>
  <w:num w:numId="2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AT"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de-AT"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AT" w:vendorID="64" w:dllVersion="0" w:nlCheck="1" w:checkStyle="0"/>
  <w:activeWritingStyle w:appName="MSWord" w:lang="pl-PL" w:vendorID="64" w:dllVersion="0" w:nlCheck="1" w:checkStyle="0"/>
  <w:activeWritingStyle w:appName="MSWord" w:lang="es-ES" w:vendorID="64" w:dllVersion="0" w:nlCheck="1" w:checkStyle="0"/>
  <w:activeWritingStyle w:appName="MSWord" w:lang="pl-PL"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8E"/>
    <w:rsid w:val="00000B1C"/>
    <w:rsid w:val="00000F39"/>
    <w:rsid w:val="00003733"/>
    <w:rsid w:val="000102A3"/>
    <w:rsid w:val="00010534"/>
    <w:rsid w:val="00013E90"/>
    <w:rsid w:val="00017138"/>
    <w:rsid w:val="00020339"/>
    <w:rsid w:val="000224C2"/>
    <w:rsid w:val="00024A07"/>
    <w:rsid w:val="00027CF4"/>
    <w:rsid w:val="000318CF"/>
    <w:rsid w:val="00032D3B"/>
    <w:rsid w:val="000333C6"/>
    <w:rsid w:val="00041233"/>
    <w:rsid w:val="00050284"/>
    <w:rsid w:val="0005461E"/>
    <w:rsid w:val="0006223D"/>
    <w:rsid w:val="0006227A"/>
    <w:rsid w:val="00062685"/>
    <w:rsid w:val="00067E40"/>
    <w:rsid w:val="00070216"/>
    <w:rsid w:val="00074DFB"/>
    <w:rsid w:val="000754F1"/>
    <w:rsid w:val="00077FA5"/>
    <w:rsid w:val="0008066D"/>
    <w:rsid w:val="00083DF4"/>
    <w:rsid w:val="00087CF5"/>
    <w:rsid w:val="00090174"/>
    <w:rsid w:val="00093497"/>
    <w:rsid w:val="0009651D"/>
    <w:rsid w:val="000A148D"/>
    <w:rsid w:val="000A2ADD"/>
    <w:rsid w:val="000A3CAD"/>
    <w:rsid w:val="000A5E82"/>
    <w:rsid w:val="000A7CFB"/>
    <w:rsid w:val="000A7E30"/>
    <w:rsid w:val="000B4322"/>
    <w:rsid w:val="000B510E"/>
    <w:rsid w:val="000B57D3"/>
    <w:rsid w:val="000C2DBB"/>
    <w:rsid w:val="000C4B84"/>
    <w:rsid w:val="000C54F2"/>
    <w:rsid w:val="000C6BE0"/>
    <w:rsid w:val="000D1D03"/>
    <w:rsid w:val="000D6F72"/>
    <w:rsid w:val="000E6487"/>
    <w:rsid w:val="000F626D"/>
    <w:rsid w:val="000F68A9"/>
    <w:rsid w:val="00104345"/>
    <w:rsid w:val="00104E4D"/>
    <w:rsid w:val="00105DEA"/>
    <w:rsid w:val="00106EE6"/>
    <w:rsid w:val="00116749"/>
    <w:rsid w:val="0012076C"/>
    <w:rsid w:val="00121ACE"/>
    <w:rsid w:val="00122A15"/>
    <w:rsid w:val="00122E37"/>
    <w:rsid w:val="00132FCD"/>
    <w:rsid w:val="0013419B"/>
    <w:rsid w:val="001351C4"/>
    <w:rsid w:val="00142CAB"/>
    <w:rsid w:val="00145941"/>
    <w:rsid w:val="00145BB7"/>
    <w:rsid w:val="00150F99"/>
    <w:rsid w:val="00153795"/>
    <w:rsid w:val="00154EEC"/>
    <w:rsid w:val="001556A7"/>
    <w:rsid w:val="00155946"/>
    <w:rsid w:val="001605C3"/>
    <w:rsid w:val="0016131A"/>
    <w:rsid w:val="00171107"/>
    <w:rsid w:val="001734E1"/>
    <w:rsid w:val="00173D26"/>
    <w:rsid w:val="00174EF8"/>
    <w:rsid w:val="00175D92"/>
    <w:rsid w:val="001807C2"/>
    <w:rsid w:val="00181692"/>
    <w:rsid w:val="00181DB1"/>
    <w:rsid w:val="0019007E"/>
    <w:rsid w:val="0019205D"/>
    <w:rsid w:val="001921D2"/>
    <w:rsid w:val="00192C3B"/>
    <w:rsid w:val="00194241"/>
    <w:rsid w:val="0019598D"/>
    <w:rsid w:val="00195E72"/>
    <w:rsid w:val="001A2E04"/>
    <w:rsid w:val="001A368C"/>
    <w:rsid w:val="001A3F93"/>
    <w:rsid w:val="001A66C4"/>
    <w:rsid w:val="001A72CD"/>
    <w:rsid w:val="001B0996"/>
    <w:rsid w:val="001B1FAE"/>
    <w:rsid w:val="001C1F82"/>
    <w:rsid w:val="001D0384"/>
    <w:rsid w:val="001D3325"/>
    <w:rsid w:val="001D3E8B"/>
    <w:rsid w:val="001D4811"/>
    <w:rsid w:val="001E2292"/>
    <w:rsid w:val="001E22F8"/>
    <w:rsid w:val="001E2698"/>
    <w:rsid w:val="001E69CD"/>
    <w:rsid w:val="001F0E47"/>
    <w:rsid w:val="001F0F2A"/>
    <w:rsid w:val="001F1A26"/>
    <w:rsid w:val="00200EE7"/>
    <w:rsid w:val="002044DE"/>
    <w:rsid w:val="00206105"/>
    <w:rsid w:val="00207C96"/>
    <w:rsid w:val="00211BEE"/>
    <w:rsid w:val="00213A7B"/>
    <w:rsid w:val="002151A9"/>
    <w:rsid w:val="00215E5B"/>
    <w:rsid w:val="0021631B"/>
    <w:rsid w:val="0022451F"/>
    <w:rsid w:val="002331FF"/>
    <w:rsid w:val="00233C04"/>
    <w:rsid w:val="002373AB"/>
    <w:rsid w:val="002404AC"/>
    <w:rsid w:val="00251CDD"/>
    <w:rsid w:val="00251E51"/>
    <w:rsid w:val="00253FAB"/>
    <w:rsid w:val="0025479A"/>
    <w:rsid w:val="0026322D"/>
    <w:rsid w:val="00263938"/>
    <w:rsid w:val="0026394E"/>
    <w:rsid w:val="00264036"/>
    <w:rsid w:val="00266294"/>
    <w:rsid w:val="002711C8"/>
    <w:rsid w:val="002730B2"/>
    <w:rsid w:val="00274206"/>
    <w:rsid w:val="0027459E"/>
    <w:rsid w:val="00274F9C"/>
    <w:rsid w:val="00275A1A"/>
    <w:rsid w:val="00280097"/>
    <w:rsid w:val="00282546"/>
    <w:rsid w:val="0028267D"/>
    <w:rsid w:val="00282A11"/>
    <w:rsid w:val="00283A0F"/>
    <w:rsid w:val="00285B0B"/>
    <w:rsid w:val="00287385"/>
    <w:rsid w:val="00291D34"/>
    <w:rsid w:val="00294A93"/>
    <w:rsid w:val="002953C7"/>
    <w:rsid w:val="0029564F"/>
    <w:rsid w:val="002A61D8"/>
    <w:rsid w:val="002A76AE"/>
    <w:rsid w:val="002B5C2D"/>
    <w:rsid w:val="002B67DD"/>
    <w:rsid w:val="002C4636"/>
    <w:rsid w:val="002C577C"/>
    <w:rsid w:val="002C651E"/>
    <w:rsid w:val="002C7D02"/>
    <w:rsid w:val="002E0E0B"/>
    <w:rsid w:val="002E1C21"/>
    <w:rsid w:val="002E492B"/>
    <w:rsid w:val="002E52EB"/>
    <w:rsid w:val="002F6C8E"/>
    <w:rsid w:val="002F73F5"/>
    <w:rsid w:val="002F76C0"/>
    <w:rsid w:val="002F7D6B"/>
    <w:rsid w:val="00303480"/>
    <w:rsid w:val="00304071"/>
    <w:rsid w:val="00306A4B"/>
    <w:rsid w:val="00307D42"/>
    <w:rsid w:val="00311DF1"/>
    <w:rsid w:val="00313C5A"/>
    <w:rsid w:val="0031443E"/>
    <w:rsid w:val="00321A93"/>
    <w:rsid w:val="00322973"/>
    <w:rsid w:val="00331030"/>
    <w:rsid w:val="00333709"/>
    <w:rsid w:val="003341FF"/>
    <w:rsid w:val="00340A4D"/>
    <w:rsid w:val="00343272"/>
    <w:rsid w:val="00347250"/>
    <w:rsid w:val="00347F3B"/>
    <w:rsid w:val="00350329"/>
    <w:rsid w:val="0035077F"/>
    <w:rsid w:val="0035176E"/>
    <w:rsid w:val="00352C91"/>
    <w:rsid w:val="003533DE"/>
    <w:rsid w:val="00353610"/>
    <w:rsid w:val="00354AC9"/>
    <w:rsid w:val="003552BC"/>
    <w:rsid w:val="00357557"/>
    <w:rsid w:val="00362AD4"/>
    <w:rsid w:val="00370176"/>
    <w:rsid w:val="003735F4"/>
    <w:rsid w:val="00381E0C"/>
    <w:rsid w:val="00382336"/>
    <w:rsid w:val="00391E88"/>
    <w:rsid w:val="0039268A"/>
    <w:rsid w:val="00394134"/>
    <w:rsid w:val="003A3205"/>
    <w:rsid w:val="003A3A78"/>
    <w:rsid w:val="003A418B"/>
    <w:rsid w:val="003A420B"/>
    <w:rsid w:val="003B7B5A"/>
    <w:rsid w:val="003D057C"/>
    <w:rsid w:val="003D268E"/>
    <w:rsid w:val="003D4AAA"/>
    <w:rsid w:val="003D7B36"/>
    <w:rsid w:val="003E0581"/>
    <w:rsid w:val="003E4B2E"/>
    <w:rsid w:val="003E53A1"/>
    <w:rsid w:val="003F5FE7"/>
    <w:rsid w:val="0040281F"/>
    <w:rsid w:val="0042282A"/>
    <w:rsid w:val="00424D93"/>
    <w:rsid w:val="0042696B"/>
    <w:rsid w:val="00427D9F"/>
    <w:rsid w:val="00433349"/>
    <w:rsid w:val="0043375F"/>
    <w:rsid w:val="00437EBC"/>
    <w:rsid w:val="00441393"/>
    <w:rsid w:val="00442342"/>
    <w:rsid w:val="004519DC"/>
    <w:rsid w:val="00452790"/>
    <w:rsid w:val="00456E86"/>
    <w:rsid w:val="00456F00"/>
    <w:rsid w:val="00471279"/>
    <w:rsid w:val="00472821"/>
    <w:rsid w:val="00474D0C"/>
    <w:rsid w:val="00476A95"/>
    <w:rsid w:val="0048041B"/>
    <w:rsid w:val="00481B88"/>
    <w:rsid w:val="00487A3D"/>
    <w:rsid w:val="004911F9"/>
    <w:rsid w:val="004912FB"/>
    <w:rsid w:val="00493539"/>
    <w:rsid w:val="004942F5"/>
    <w:rsid w:val="00495128"/>
    <w:rsid w:val="004972E7"/>
    <w:rsid w:val="004A0FD2"/>
    <w:rsid w:val="004A161B"/>
    <w:rsid w:val="004B67D1"/>
    <w:rsid w:val="004C0526"/>
    <w:rsid w:val="004C340B"/>
    <w:rsid w:val="004C5189"/>
    <w:rsid w:val="004C66B3"/>
    <w:rsid w:val="004D0FF2"/>
    <w:rsid w:val="004D1EAA"/>
    <w:rsid w:val="004D2321"/>
    <w:rsid w:val="004D473C"/>
    <w:rsid w:val="004E0E8E"/>
    <w:rsid w:val="004E195F"/>
    <w:rsid w:val="004E37DD"/>
    <w:rsid w:val="004E4AEA"/>
    <w:rsid w:val="004F742B"/>
    <w:rsid w:val="004F7E60"/>
    <w:rsid w:val="00502309"/>
    <w:rsid w:val="00512B19"/>
    <w:rsid w:val="00513C5F"/>
    <w:rsid w:val="005207DC"/>
    <w:rsid w:val="00526539"/>
    <w:rsid w:val="00527DB5"/>
    <w:rsid w:val="0053469F"/>
    <w:rsid w:val="00537C95"/>
    <w:rsid w:val="0054358D"/>
    <w:rsid w:val="00547774"/>
    <w:rsid w:val="0055067B"/>
    <w:rsid w:val="00551C74"/>
    <w:rsid w:val="00554184"/>
    <w:rsid w:val="005567AF"/>
    <w:rsid w:val="005604A0"/>
    <w:rsid w:val="005678F8"/>
    <w:rsid w:val="005701BD"/>
    <w:rsid w:val="005720C1"/>
    <w:rsid w:val="00573BDB"/>
    <w:rsid w:val="00584BD3"/>
    <w:rsid w:val="0058502C"/>
    <w:rsid w:val="00585DF5"/>
    <w:rsid w:val="00586D71"/>
    <w:rsid w:val="00590D61"/>
    <w:rsid w:val="00595724"/>
    <w:rsid w:val="0059685E"/>
    <w:rsid w:val="005A4903"/>
    <w:rsid w:val="005A4F07"/>
    <w:rsid w:val="005A7DB9"/>
    <w:rsid w:val="005B4A52"/>
    <w:rsid w:val="005B6B27"/>
    <w:rsid w:val="005C4203"/>
    <w:rsid w:val="005D2BFD"/>
    <w:rsid w:val="005E7843"/>
    <w:rsid w:val="005E7C56"/>
    <w:rsid w:val="005E7DD0"/>
    <w:rsid w:val="005F0D1E"/>
    <w:rsid w:val="005F4E6C"/>
    <w:rsid w:val="006059BE"/>
    <w:rsid w:val="006168A3"/>
    <w:rsid w:val="006207BB"/>
    <w:rsid w:val="00620866"/>
    <w:rsid w:val="00621771"/>
    <w:rsid w:val="00621CA3"/>
    <w:rsid w:val="0062277B"/>
    <w:rsid w:val="00623790"/>
    <w:rsid w:val="006258B5"/>
    <w:rsid w:val="006270CE"/>
    <w:rsid w:val="00627435"/>
    <w:rsid w:val="006313EA"/>
    <w:rsid w:val="00633E26"/>
    <w:rsid w:val="00634BB9"/>
    <w:rsid w:val="0064250F"/>
    <w:rsid w:val="006460A2"/>
    <w:rsid w:val="0064789F"/>
    <w:rsid w:val="0065126F"/>
    <w:rsid w:val="00655719"/>
    <w:rsid w:val="006612E6"/>
    <w:rsid w:val="00661D52"/>
    <w:rsid w:val="00670241"/>
    <w:rsid w:val="00672C13"/>
    <w:rsid w:val="00673858"/>
    <w:rsid w:val="00675D7E"/>
    <w:rsid w:val="00680E7D"/>
    <w:rsid w:val="006911E3"/>
    <w:rsid w:val="00695C0D"/>
    <w:rsid w:val="006B6A77"/>
    <w:rsid w:val="006B7D51"/>
    <w:rsid w:val="006C1152"/>
    <w:rsid w:val="006C1C37"/>
    <w:rsid w:val="006C3084"/>
    <w:rsid w:val="006C3A42"/>
    <w:rsid w:val="006C3CCE"/>
    <w:rsid w:val="006C44D8"/>
    <w:rsid w:val="006C5BBE"/>
    <w:rsid w:val="006C6B5C"/>
    <w:rsid w:val="006D060C"/>
    <w:rsid w:val="006D1327"/>
    <w:rsid w:val="006D2540"/>
    <w:rsid w:val="006D315E"/>
    <w:rsid w:val="006D445D"/>
    <w:rsid w:val="006D6FBC"/>
    <w:rsid w:val="006E0BF0"/>
    <w:rsid w:val="006E5DE3"/>
    <w:rsid w:val="006E6B3C"/>
    <w:rsid w:val="006F09B2"/>
    <w:rsid w:val="006F31E3"/>
    <w:rsid w:val="006F3C9F"/>
    <w:rsid w:val="006F75F3"/>
    <w:rsid w:val="006F7F9A"/>
    <w:rsid w:val="0071516B"/>
    <w:rsid w:val="00717EB3"/>
    <w:rsid w:val="00722612"/>
    <w:rsid w:val="00722E74"/>
    <w:rsid w:val="00723340"/>
    <w:rsid w:val="0072404E"/>
    <w:rsid w:val="007435BA"/>
    <w:rsid w:val="0074369A"/>
    <w:rsid w:val="007546AC"/>
    <w:rsid w:val="007568D0"/>
    <w:rsid w:val="00762648"/>
    <w:rsid w:val="00762EE3"/>
    <w:rsid w:val="00767C14"/>
    <w:rsid w:val="007762E9"/>
    <w:rsid w:val="00776389"/>
    <w:rsid w:val="0077755D"/>
    <w:rsid w:val="007815E9"/>
    <w:rsid w:val="00783D66"/>
    <w:rsid w:val="00784B15"/>
    <w:rsid w:val="00785A3D"/>
    <w:rsid w:val="0079129A"/>
    <w:rsid w:val="00794263"/>
    <w:rsid w:val="007A26E7"/>
    <w:rsid w:val="007A50C6"/>
    <w:rsid w:val="007A50CE"/>
    <w:rsid w:val="007A70D3"/>
    <w:rsid w:val="007B15AC"/>
    <w:rsid w:val="007B3A6E"/>
    <w:rsid w:val="007C1BE4"/>
    <w:rsid w:val="007C44C7"/>
    <w:rsid w:val="007C51E4"/>
    <w:rsid w:val="007C694B"/>
    <w:rsid w:val="007D007C"/>
    <w:rsid w:val="007D2099"/>
    <w:rsid w:val="007D3EBF"/>
    <w:rsid w:val="007D48C5"/>
    <w:rsid w:val="007D5E67"/>
    <w:rsid w:val="007E2CF4"/>
    <w:rsid w:val="007E333B"/>
    <w:rsid w:val="007F2D34"/>
    <w:rsid w:val="007F3812"/>
    <w:rsid w:val="007F537A"/>
    <w:rsid w:val="00801F2B"/>
    <w:rsid w:val="00806E9C"/>
    <w:rsid w:val="008143CF"/>
    <w:rsid w:val="00815ADC"/>
    <w:rsid w:val="00816ADF"/>
    <w:rsid w:val="00817BFC"/>
    <w:rsid w:val="00831CB1"/>
    <w:rsid w:val="00833AD7"/>
    <w:rsid w:val="0083777E"/>
    <w:rsid w:val="0084181C"/>
    <w:rsid w:val="00842AEE"/>
    <w:rsid w:val="0084738F"/>
    <w:rsid w:val="0085057C"/>
    <w:rsid w:val="00850AE6"/>
    <w:rsid w:val="008528CB"/>
    <w:rsid w:val="00853927"/>
    <w:rsid w:val="00853E7E"/>
    <w:rsid w:val="00854078"/>
    <w:rsid w:val="008562F4"/>
    <w:rsid w:val="00856E87"/>
    <w:rsid w:val="00860CD2"/>
    <w:rsid w:val="00862748"/>
    <w:rsid w:val="00863D9E"/>
    <w:rsid w:val="0086401F"/>
    <w:rsid w:val="00865D15"/>
    <w:rsid w:val="00867440"/>
    <w:rsid w:val="0087074B"/>
    <w:rsid w:val="00871E58"/>
    <w:rsid w:val="008732B9"/>
    <w:rsid w:val="00876699"/>
    <w:rsid w:val="008817F7"/>
    <w:rsid w:val="00881852"/>
    <w:rsid w:val="0088635F"/>
    <w:rsid w:val="00887742"/>
    <w:rsid w:val="00893451"/>
    <w:rsid w:val="0089773D"/>
    <w:rsid w:val="008B60AD"/>
    <w:rsid w:val="008D4C8D"/>
    <w:rsid w:val="008D6EFB"/>
    <w:rsid w:val="008D70EE"/>
    <w:rsid w:val="008E1A09"/>
    <w:rsid w:val="008E3A30"/>
    <w:rsid w:val="008F2390"/>
    <w:rsid w:val="008F3C05"/>
    <w:rsid w:val="008F70DE"/>
    <w:rsid w:val="009003B3"/>
    <w:rsid w:val="009133E2"/>
    <w:rsid w:val="00917ECF"/>
    <w:rsid w:val="009212BF"/>
    <w:rsid w:val="00922E1E"/>
    <w:rsid w:val="0092333B"/>
    <w:rsid w:val="00924742"/>
    <w:rsid w:val="00924AEA"/>
    <w:rsid w:val="009258A9"/>
    <w:rsid w:val="0092646A"/>
    <w:rsid w:val="00930316"/>
    <w:rsid w:val="00931D8A"/>
    <w:rsid w:val="00936CF5"/>
    <w:rsid w:val="0094479D"/>
    <w:rsid w:val="00952B61"/>
    <w:rsid w:val="00953658"/>
    <w:rsid w:val="00953718"/>
    <w:rsid w:val="00956C04"/>
    <w:rsid w:val="00957D0C"/>
    <w:rsid w:val="00963AF5"/>
    <w:rsid w:val="00971A9F"/>
    <w:rsid w:val="00976389"/>
    <w:rsid w:val="00976A8A"/>
    <w:rsid w:val="00981227"/>
    <w:rsid w:val="00984099"/>
    <w:rsid w:val="0099080F"/>
    <w:rsid w:val="00990C04"/>
    <w:rsid w:val="00991099"/>
    <w:rsid w:val="009A372D"/>
    <w:rsid w:val="009A6EE9"/>
    <w:rsid w:val="009B1FD7"/>
    <w:rsid w:val="009B7365"/>
    <w:rsid w:val="009B7E5F"/>
    <w:rsid w:val="009C221C"/>
    <w:rsid w:val="009C6D75"/>
    <w:rsid w:val="009D166A"/>
    <w:rsid w:val="009D23EE"/>
    <w:rsid w:val="009D30A9"/>
    <w:rsid w:val="009D3FE2"/>
    <w:rsid w:val="009D4AA7"/>
    <w:rsid w:val="009E1283"/>
    <w:rsid w:val="009E6370"/>
    <w:rsid w:val="009F4366"/>
    <w:rsid w:val="009F4C46"/>
    <w:rsid w:val="009F6B44"/>
    <w:rsid w:val="009F6F9A"/>
    <w:rsid w:val="009F7FF0"/>
    <w:rsid w:val="00A069DC"/>
    <w:rsid w:val="00A110B5"/>
    <w:rsid w:val="00A129CE"/>
    <w:rsid w:val="00A1333D"/>
    <w:rsid w:val="00A1644B"/>
    <w:rsid w:val="00A2528B"/>
    <w:rsid w:val="00A263BB"/>
    <w:rsid w:val="00A32D20"/>
    <w:rsid w:val="00A3690F"/>
    <w:rsid w:val="00A3764B"/>
    <w:rsid w:val="00A4116D"/>
    <w:rsid w:val="00A41FC1"/>
    <w:rsid w:val="00A431E8"/>
    <w:rsid w:val="00A43980"/>
    <w:rsid w:val="00A454CB"/>
    <w:rsid w:val="00A46070"/>
    <w:rsid w:val="00A472FE"/>
    <w:rsid w:val="00A52602"/>
    <w:rsid w:val="00A52872"/>
    <w:rsid w:val="00A61424"/>
    <w:rsid w:val="00A65177"/>
    <w:rsid w:val="00A6668E"/>
    <w:rsid w:val="00A74043"/>
    <w:rsid w:val="00A756C6"/>
    <w:rsid w:val="00A8196A"/>
    <w:rsid w:val="00A853EF"/>
    <w:rsid w:val="00A85EEB"/>
    <w:rsid w:val="00A96F5F"/>
    <w:rsid w:val="00AA2F58"/>
    <w:rsid w:val="00AA7711"/>
    <w:rsid w:val="00AB0551"/>
    <w:rsid w:val="00AB231F"/>
    <w:rsid w:val="00AB406C"/>
    <w:rsid w:val="00AB6848"/>
    <w:rsid w:val="00AB73C9"/>
    <w:rsid w:val="00AC23CB"/>
    <w:rsid w:val="00AC2705"/>
    <w:rsid w:val="00AC3590"/>
    <w:rsid w:val="00AD04EC"/>
    <w:rsid w:val="00AD0A04"/>
    <w:rsid w:val="00AD0A06"/>
    <w:rsid w:val="00AD680A"/>
    <w:rsid w:val="00AD6FB8"/>
    <w:rsid w:val="00AD765D"/>
    <w:rsid w:val="00AF6215"/>
    <w:rsid w:val="00B0002A"/>
    <w:rsid w:val="00B02C4D"/>
    <w:rsid w:val="00B06094"/>
    <w:rsid w:val="00B06678"/>
    <w:rsid w:val="00B10F5C"/>
    <w:rsid w:val="00B149AD"/>
    <w:rsid w:val="00B14B89"/>
    <w:rsid w:val="00B2319E"/>
    <w:rsid w:val="00B23B2E"/>
    <w:rsid w:val="00B241BC"/>
    <w:rsid w:val="00B2593F"/>
    <w:rsid w:val="00B3431D"/>
    <w:rsid w:val="00B36179"/>
    <w:rsid w:val="00B45875"/>
    <w:rsid w:val="00B46A60"/>
    <w:rsid w:val="00B53C47"/>
    <w:rsid w:val="00B55514"/>
    <w:rsid w:val="00B6701A"/>
    <w:rsid w:val="00B718A1"/>
    <w:rsid w:val="00B719C5"/>
    <w:rsid w:val="00B73CEB"/>
    <w:rsid w:val="00B82AFB"/>
    <w:rsid w:val="00B85609"/>
    <w:rsid w:val="00B86479"/>
    <w:rsid w:val="00B94E33"/>
    <w:rsid w:val="00BA341A"/>
    <w:rsid w:val="00BA691F"/>
    <w:rsid w:val="00BB0DFF"/>
    <w:rsid w:val="00BB2A61"/>
    <w:rsid w:val="00BB2CF7"/>
    <w:rsid w:val="00BB4ED4"/>
    <w:rsid w:val="00BB7F76"/>
    <w:rsid w:val="00BC0C05"/>
    <w:rsid w:val="00BC15B2"/>
    <w:rsid w:val="00BC27CB"/>
    <w:rsid w:val="00BD05F8"/>
    <w:rsid w:val="00BD091B"/>
    <w:rsid w:val="00BD5998"/>
    <w:rsid w:val="00BD6A28"/>
    <w:rsid w:val="00BE2BEB"/>
    <w:rsid w:val="00BE2E09"/>
    <w:rsid w:val="00BE516D"/>
    <w:rsid w:val="00BF3ADB"/>
    <w:rsid w:val="00BF562E"/>
    <w:rsid w:val="00C05E36"/>
    <w:rsid w:val="00C11243"/>
    <w:rsid w:val="00C173AA"/>
    <w:rsid w:val="00C2153A"/>
    <w:rsid w:val="00C216D8"/>
    <w:rsid w:val="00C23F86"/>
    <w:rsid w:val="00C32F04"/>
    <w:rsid w:val="00C33A6E"/>
    <w:rsid w:val="00C33D6C"/>
    <w:rsid w:val="00C36593"/>
    <w:rsid w:val="00C4105D"/>
    <w:rsid w:val="00C45398"/>
    <w:rsid w:val="00C50DCE"/>
    <w:rsid w:val="00C56074"/>
    <w:rsid w:val="00C61E39"/>
    <w:rsid w:val="00C62906"/>
    <w:rsid w:val="00C64976"/>
    <w:rsid w:val="00C668CB"/>
    <w:rsid w:val="00C67D1A"/>
    <w:rsid w:val="00C74AA0"/>
    <w:rsid w:val="00C74C1A"/>
    <w:rsid w:val="00C77648"/>
    <w:rsid w:val="00C82B71"/>
    <w:rsid w:val="00C83B65"/>
    <w:rsid w:val="00C87EAB"/>
    <w:rsid w:val="00CA3833"/>
    <w:rsid w:val="00CA6E10"/>
    <w:rsid w:val="00CB1EBE"/>
    <w:rsid w:val="00CB367E"/>
    <w:rsid w:val="00CB3991"/>
    <w:rsid w:val="00CB5D8D"/>
    <w:rsid w:val="00CB78B7"/>
    <w:rsid w:val="00CC057B"/>
    <w:rsid w:val="00CC26B4"/>
    <w:rsid w:val="00CC423D"/>
    <w:rsid w:val="00CD109A"/>
    <w:rsid w:val="00CD1E4B"/>
    <w:rsid w:val="00CD46D1"/>
    <w:rsid w:val="00CD49E1"/>
    <w:rsid w:val="00CD4A06"/>
    <w:rsid w:val="00CE14D0"/>
    <w:rsid w:val="00CE26C7"/>
    <w:rsid w:val="00CE3BFB"/>
    <w:rsid w:val="00CE4E2C"/>
    <w:rsid w:val="00CE6508"/>
    <w:rsid w:val="00CF382A"/>
    <w:rsid w:val="00D04045"/>
    <w:rsid w:val="00D0461D"/>
    <w:rsid w:val="00D07FC9"/>
    <w:rsid w:val="00D1102B"/>
    <w:rsid w:val="00D11704"/>
    <w:rsid w:val="00D124C9"/>
    <w:rsid w:val="00D146C1"/>
    <w:rsid w:val="00D14D65"/>
    <w:rsid w:val="00D279A3"/>
    <w:rsid w:val="00D316D8"/>
    <w:rsid w:val="00D43C6B"/>
    <w:rsid w:val="00D444CE"/>
    <w:rsid w:val="00D44B33"/>
    <w:rsid w:val="00D50D5E"/>
    <w:rsid w:val="00D50E3D"/>
    <w:rsid w:val="00D52F10"/>
    <w:rsid w:val="00D5552E"/>
    <w:rsid w:val="00D671F3"/>
    <w:rsid w:val="00D67D0F"/>
    <w:rsid w:val="00D73DD2"/>
    <w:rsid w:val="00D750FC"/>
    <w:rsid w:val="00D77580"/>
    <w:rsid w:val="00D80FF4"/>
    <w:rsid w:val="00D9022E"/>
    <w:rsid w:val="00D90279"/>
    <w:rsid w:val="00D94F21"/>
    <w:rsid w:val="00D96200"/>
    <w:rsid w:val="00D97C4E"/>
    <w:rsid w:val="00DA0358"/>
    <w:rsid w:val="00DA197A"/>
    <w:rsid w:val="00DA21A5"/>
    <w:rsid w:val="00DA6023"/>
    <w:rsid w:val="00DA78BB"/>
    <w:rsid w:val="00DB0885"/>
    <w:rsid w:val="00DB5BB6"/>
    <w:rsid w:val="00DB710B"/>
    <w:rsid w:val="00DC36D8"/>
    <w:rsid w:val="00DC3F18"/>
    <w:rsid w:val="00DD16BD"/>
    <w:rsid w:val="00DD6792"/>
    <w:rsid w:val="00DD71B7"/>
    <w:rsid w:val="00DE1547"/>
    <w:rsid w:val="00DE19BC"/>
    <w:rsid w:val="00DE1EA4"/>
    <w:rsid w:val="00DE3C54"/>
    <w:rsid w:val="00DF1FFC"/>
    <w:rsid w:val="00DF203E"/>
    <w:rsid w:val="00DF6898"/>
    <w:rsid w:val="00E00C12"/>
    <w:rsid w:val="00E01EFB"/>
    <w:rsid w:val="00E01FAB"/>
    <w:rsid w:val="00E05FDA"/>
    <w:rsid w:val="00E12F57"/>
    <w:rsid w:val="00E22C69"/>
    <w:rsid w:val="00E2567B"/>
    <w:rsid w:val="00E26715"/>
    <w:rsid w:val="00E31930"/>
    <w:rsid w:val="00E35664"/>
    <w:rsid w:val="00E43CB3"/>
    <w:rsid w:val="00E50C37"/>
    <w:rsid w:val="00E51BA6"/>
    <w:rsid w:val="00E53714"/>
    <w:rsid w:val="00E54768"/>
    <w:rsid w:val="00E60C1B"/>
    <w:rsid w:val="00E620B6"/>
    <w:rsid w:val="00E66615"/>
    <w:rsid w:val="00E67FA6"/>
    <w:rsid w:val="00E70769"/>
    <w:rsid w:val="00E74668"/>
    <w:rsid w:val="00E74D03"/>
    <w:rsid w:val="00E80D0A"/>
    <w:rsid w:val="00E828DA"/>
    <w:rsid w:val="00E87FBA"/>
    <w:rsid w:val="00E90CEE"/>
    <w:rsid w:val="00E91043"/>
    <w:rsid w:val="00E9747D"/>
    <w:rsid w:val="00EA1916"/>
    <w:rsid w:val="00EA3872"/>
    <w:rsid w:val="00EA689A"/>
    <w:rsid w:val="00EB03A8"/>
    <w:rsid w:val="00EB448B"/>
    <w:rsid w:val="00EB4F6D"/>
    <w:rsid w:val="00EB7DA4"/>
    <w:rsid w:val="00EC0EEB"/>
    <w:rsid w:val="00EC1003"/>
    <w:rsid w:val="00ED0380"/>
    <w:rsid w:val="00ED082A"/>
    <w:rsid w:val="00ED2346"/>
    <w:rsid w:val="00ED7A64"/>
    <w:rsid w:val="00EE1519"/>
    <w:rsid w:val="00EE192B"/>
    <w:rsid w:val="00EF0BC8"/>
    <w:rsid w:val="00EF4075"/>
    <w:rsid w:val="00F00139"/>
    <w:rsid w:val="00F03FD2"/>
    <w:rsid w:val="00F04F63"/>
    <w:rsid w:val="00F07177"/>
    <w:rsid w:val="00F1399D"/>
    <w:rsid w:val="00F1399F"/>
    <w:rsid w:val="00F1443A"/>
    <w:rsid w:val="00F21C46"/>
    <w:rsid w:val="00F2528D"/>
    <w:rsid w:val="00F257E0"/>
    <w:rsid w:val="00F271E6"/>
    <w:rsid w:val="00F32181"/>
    <w:rsid w:val="00F36B37"/>
    <w:rsid w:val="00F373C1"/>
    <w:rsid w:val="00F37843"/>
    <w:rsid w:val="00F40039"/>
    <w:rsid w:val="00F40BA0"/>
    <w:rsid w:val="00F4320F"/>
    <w:rsid w:val="00F4521C"/>
    <w:rsid w:val="00F4622B"/>
    <w:rsid w:val="00F62581"/>
    <w:rsid w:val="00F667CA"/>
    <w:rsid w:val="00F713FD"/>
    <w:rsid w:val="00F7230E"/>
    <w:rsid w:val="00F72812"/>
    <w:rsid w:val="00F82497"/>
    <w:rsid w:val="00F87BED"/>
    <w:rsid w:val="00F938FF"/>
    <w:rsid w:val="00FA712B"/>
    <w:rsid w:val="00FB066E"/>
    <w:rsid w:val="00FB0F13"/>
    <w:rsid w:val="00FB2FF7"/>
    <w:rsid w:val="00FB3A12"/>
    <w:rsid w:val="00FB4E66"/>
    <w:rsid w:val="00FB5B58"/>
    <w:rsid w:val="00FC04B2"/>
    <w:rsid w:val="00FC57DA"/>
    <w:rsid w:val="00FC58A7"/>
    <w:rsid w:val="00FC5B59"/>
    <w:rsid w:val="00FD09AC"/>
    <w:rsid w:val="00FD0B77"/>
    <w:rsid w:val="00FD30D1"/>
    <w:rsid w:val="00FD4460"/>
    <w:rsid w:val="00FD46E8"/>
    <w:rsid w:val="00FE2885"/>
    <w:rsid w:val="00FE5A0E"/>
    <w:rsid w:val="00FF10A4"/>
    <w:rsid w:val="00FF1B79"/>
    <w:rsid w:val="00FF38A1"/>
    <w:rsid w:val="00FF4008"/>
    <w:rsid w:val="00FF5860"/>
  </w:rsids>
  <m:mathPr>
    <m:mathFont m:val="Cambria Math"/>
    <m:brkBin m:val="before"/>
    <m:brkBinSub m:val="--"/>
    <m:smallFrac m:val="0"/>
    <m:dispDef/>
    <m:lMargin m:val="0"/>
    <m:rMargin m:val="0"/>
    <m:defJc m:val="centerGroup"/>
    <m:wrapIndent m:val="1440"/>
    <m:intLim m:val="subSup"/>
    <m:naryLim m:val="undOvr"/>
  </m:mathPr>
  <w:themeFontLang w:val="fr-BE"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222345"/>
  <w15:chartTrackingRefBased/>
  <w15:docId w15:val="{A53140AE-FFD1-4061-9572-26FDD3F8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EBC"/>
    <w:pPr>
      <w:spacing w:after="0" w:line="260" w:lineRule="exact"/>
    </w:pPr>
    <w:rPr>
      <w:sz w:val="18"/>
    </w:rPr>
  </w:style>
  <w:style w:type="paragraph" w:styleId="Heading1">
    <w:name w:val="heading 1"/>
    <w:basedOn w:val="Normal"/>
    <w:next w:val="Normal"/>
    <w:link w:val="Heading1Char"/>
    <w:uiPriority w:val="9"/>
    <w:qFormat/>
    <w:rsid w:val="008E3A30"/>
    <w:pPr>
      <w:spacing w:line="240" w:lineRule="auto"/>
      <w:outlineLvl w:val="0"/>
    </w:pPr>
    <w:rPr>
      <w:b/>
      <w:bCs/>
      <w:color w:val="005EB8"/>
      <w:sz w:val="28"/>
      <w:szCs w:val="48"/>
    </w:rPr>
  </w:style>
  <w:style w:type="paragraph" w:styleId="Heading2">
    <w:name w:val="heading 2"/>
    <w:basedOn w:val="Normal"/>
    <w:next w:val="Normal"/>
    <w:link w:val="Heading2Char"/>
    <w:uiPriority w:val="9"/>
    <w:unhideWhenUsed/>
    <w:qFormat/>
    <w:rsid w:val="004F7E60"/>
    <w:pPr>
      <w:spacing w:before="480" w:after="113" w:line="240" w:lineRule="auto"/>
      <w:outlineLvl w:val="1"/>
    </w:pPr>
    <w:rPr>
      <w:bCs/>
      <w:color w:val="005EB8"/>
      <w:sz w:val="24"/>
      <w:szCs w:val="28"/>
    </w:rPr>
  </w:style>
  <w:style w:type="paragraph" w:styleId="Heading3">
    <w:name w:val="heading 3"/>
    <w:basedOn w:val="Normal"/>
    <w:next w:val="Normal"/>
    <w:link w:val="Heading3Char"/>
    <w:uiPriority w:val="9"/>
    <w:unhideWhenUsed/>
    <w:qFormat/>
    <w:rsid w:val="00437EBC"/>
    <w:pPr>
      <w:numPr>
        <w:numId w:val="3"/>
      </w:numPr>
      <w:spacing w:before="400" w:after="113" w:line="240" w:lineRule="auto"/>
      <w:ind w:left="284" w:hanging="284"/>
      <w:outlineLvl w:val="2"/>
    </w:pPr>
    <w:rPr>
      <w:b/>
      <w:bCs/>
      <w:sz w:val="20"/>
      <w:szCs w:val="24"/>
    </w:rPr>
  </w:style>
  <w:style w:type="paragraph" w:styleId="Heading4">
    <w:name w:val="heading 4"/>
    <w:basedOn w:val="Normal"/>
    <w:next w:val="Normal"/>
    <w:link w:val="Heading4Char"/>
    <w:uiPriority w:val="9"/>
    <w:unhideWhenUsed/>
    <w:qFormat/>
    <w:rsid w:val="00DE1EA4"/>
    <w:pPr>
      <w:keepNext/>
      <w:keepLines/>
      <w:spacing w:before="400" w:after="100"/>
      <w:outlineLvl w:val="3"/>
    </w:pPr>
    <w:rPr>
      <w:rFonts w:asciiTheme="majorHAnsi" w:eastAsiaTheme="majorEastAsia" w:hAnsiTheme="majorHAnsi" w:cstheme="majorBidi"/>
      <w:b/>
      <w:bCs/>
      <w:i/>
      <w:iCs/>
      <w:color w:val="2B69BF" w:themeColor="accent1" w:themeShade="BF"/>
    </w:rPr>
  </w:style>
  <w:style w:type="paragraph" w:styleId="Heading5">
    <w:name w:val="heading 5"/>
    <w:basedOn w:val="Normal"/>
    <w:next w:val="Normal"/>
    <w:link w:val="Heading5Char"/>
    <w:uiPriority w:val="9"/>
    <w:unhideWhenUsed/>
    <w:qFormat/>
    <w:rsid w:val="009C221C"/>
    <w:pPr>
      <w:keepNext/>
      <w:keepLines/>
      <w:spacing w:before="40"/>
      <w:outlineLvl w:val="4"/>
    </w:pPr>
    <w:rPr>
      <w:rFonts w:asciiTheme="majorHAnsi" w:eastAsiaTheme="majorEastAsia" w:hAnsiTheme="majorHAnsi" w:cstheme="majorBidi"/>
      <w:b/>
      <w:color w:val="575756" w:themeColor="background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eRef">
    <w:name w:val="Date+Ref"/>
    <w:basedOn w:val="Normal"/>
    <w:qFormat/>
    <w:rsid w:val="00AA7711"/>
    <w:pPr>
      <w:jc w:val="right"/>
    </w:pPr>
  </w:style>
  <w:style w:type="paragraph" w:styleId="Header">
    <w:name w:val="header"/>
    <w:basedOn w:val="Normal"/>
    <w:link w:val="HeaderChar"/>
    <w:uiPriority w:val="99"/>
    <w:unhideWhenUsed/>
    <w:rsid w:val="00AA7711"/>
    <w:pPr>
      <w:tabs>
        <w:tab w:val="center" w:pos="4536"/>
        <w:tab w:val="right" w:pos="9072"/>
      </w:tabs>
      <w:spacing w:line="240" w:lineRule="auto"/>
    </w:pPr>
  </w:style>
  <w:style w:type="character" w:customStyle="1" w:styleId="HeaderChar">
    <w:name w:val="Header Char"/>
    <w:basedOn w:val="DefaultParagraphFont"/>
    <w:link w:val="Header"/>
    <w:uiPriority w:val="99"/>
    <w:rsid w:val="00AA7711"/>
    <w:rPr>
      <w:lang w:val="de-DE"/>
    </w:rPr>
  </w:style>
  <w:style w:type="paragraph" w:styleId="Footer">
    <w:name w:val="footer"/>
    <w:basedOn w:val="Normal"/>
    <w:link w:val="FooterChar"/>
    <w:uiPriority w:val="99"/>
    <w:unhideWhenUsed/>
    <w:rsid w:val="0074369A"/>
    <w:pPr>
      <w:tabs>
        <w:tab w:val="center" w:pos="4536"/>
        <w:tab w:val="right" w:pos="9072"/>
      </w:tabs>
      <w:spacing w:after="100" w:line="240" w:lineRule="auto"/>
    </w:pPr>
    <w:rPr>
      <w:sz w:val="16"/>
      <w:szCs w:val="16"/>
    </w:rPr>
  </w:style>
  <w:style w:type="character" w:customStyle="1" w:styleId="FooterChar">
    <w:name w:val="Footer Char"/>
    <w:basedOn w:val="DefaultParagraphFont"/>
    <w:link w:val="Footer"/>
    <w:uiPriority w:val="99"/>
    <w:rsid w:val="0074369A"/>
    <w:rPr>
      <w:sz w:val="16"/>
      <w:szCs w:val="16"/>
      <w:lang w:val="de-DE"/>
    </w:rPr>
  </w:style>
  <w:style w:type="table" w:styleId="TableGrid">
    <w:name w:val="Table Grid"/>
    <w:basedOn w:val="TableNormal"/>
    <w:uiPriority w:val="39"/>
    <w:rsid w:val="00D6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ofdocument">
    <w:name w:val="Type of document"/>
    <w:qFormat/>
    <w:rsid w:val="00E2567B"/>
    <w:pPr>
      <w:spacing w:after="0" w:line="240" w:lineRule="auto"/>
      <w:jc w:val="right"/>
    </w:pPr>
    <w:rPr>
      <w:bCs/>
      <w:color w:val="005EB8"/>
      <w:sz w:val="36"/>
      <w:szCs w:val="50"/>
    </w:rPr>
  </w:style>
  <w:style w:type="character" w:customStyle="1" w:styleId="Heading1Char">
    <w:name w:val="Heading 1 Char"/>
    <w:basedOn w:val="DefaultParagraphFont"/>
    <w:link w:val="Heading1"/>
    <w:uiPriority w:val="9"/>
    <w:rsid w:val="008E3A30"/>
    <w:rPr>
      <w:b/>
      <w:bCs/>
      <w:color w:val="005EB8"/>
      <w:sz w:val="28"/>
      <w:szCs w:val="48"/>
      <w:lang w:val="de-DE"/>
    </w:rPr>
  </w:style>
  <w:style w:type="paragraph" w:customStyle="1" w:styleId="BasicParagraph">
    <w:name w:val="[Basic Paragraph]"/>
    <w:basedOn w:val="Normal"/>
    <w:uiPriority w:val="99"/>
    <w:rsid w:val="00D80FF4"/>
    <w:pPr>
      <w:autoSpaceDE w:val="0"/>
      <w:autoSpaceDN w:val="0"/>
      <w:adjustRightInd w:val="0"/>
      <w:spacing w:line="288" w:lineRule="auto"/>
      <w:textAlignment w:val="center"/>
    </w:pPr>
    <w:rPr>
      <w:rFonts w:ascii="Arial" w:hAnsi="Arial" w:cs="Arial"/>
      <w:color w:val="000000"/>
      <w:sz w:val="24"/>
      <w:szCs w:val="24"/>
    </w:rPr>
  </w:style>
  <w:style w:type="character" w:customStyle="1" w:styleId="Heading2Char">
    <w:name w:val="Heading 2 Char"/>
    <w:basedOn w:val="DefaultParagraphFont"/>
    <w:link w:val="Heading2"/>
    <w:uiPriority w:val="9"/>
    <w:rsid w:val="004F7E60"/>
    <w:rPr>
      <w:bCs/>
      <w:color w:val="005EB8"/>
      <w:sz w:val="24"/>
      <w:szCs w:val="28"/>
      <w:lang w:val="de-DE"/>
    </w:rPr>
  </w:style>
  <w:style w:type="character" w:customStyle="1" w:styleId="Heading3Char">
    <w:name w:val="Heading 3 Char"/>
    <w:basedOn w:val="DefaultParagraphFont"/>
    <w:link w:val="Heading3"/>
    <w:uiPriority w:val="9"/>
    <w:rsid w:val="00437EBC"/>
    <w:rPr>
      <w:b/>
      <w:bCs/>
      <w:sz w:val="20"/>
      <w:szCs w:val="24"/>
      <w:lang w:val="de-DE"/>
    </w:rPr>
  </w:style>
  <w:style w:type="paragraph" w:styleId="ListParagraph">
    <w:name w:val="List Paragraph"/>
    <w:basedOn w:val="Normal"/>
    <w:uiPriority w:val="34"/>
    <w:qFormat/>
    <w:rsid w:val="00AD0A04"/>
    <w:pPr>
      <w:numPr>
        <w:numId w:val="1"/>
      </w:numPr>
      <w:spacing w:after="100" w:line="240" w:lineRule="auto"/>
    </w:pPr>
  </w:style>
  <w:style w:type="character" w:styleId="Hyperlink">
    <w:name w:val="Hyperlink"/>
    <w:basedOn w:val="DefaultParagraphFont"/>
    <w:uiPriority w:val="99"/>
    <w:unhideWhenUsed/>
    <w:rsid w:val="007568D0"/>
    <w:rPr>
      <w:color w:val="5E93DB" w:themeColor="hyperlink"/>
      <w:u w:val="single"/>
    </w:rPr>
  </w:style>
  <w:style w:type="character" w:customStyle="1" w:styleId="UnresolvedMention1">
    <w:name w:val="Unresolved Mention1"/>
    <w:basedOn w:val="DefaultParagraphFont"/>
    <w:uiPriority w:val="99"/>
    <w:semiHidden/>
    <w:unhideWhenUsed/>
    <w:rsid w:val="007568D0"/>
    <w:rPr>
      <w:color w:val="605E5C"/>
      <w:shd w:val="clear" w:color="auto" w:fill="E1DFDD"/>
    </w:rPr>
  </w:style>
  <w:style w:type="table" w:customStyle="1" w:styleId="TableGrid1">
    <w:name w:val="Table Grid1"/>
    <w:basedOn w:val="TableNormal"/>
    <w:next w:val="TableGrid"/>
    <w:uiPriority w:val="39"/>
    <w:rsid w:val="009B1FD7"/>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3A30"/>
    <w:rPr>
      <w:color w:val="808080"/>
    </w:rPr>
  </w:style>
  <w:style w:type="paragraph" w:customStyle="1" w:styleId="Default">
    <w:name w:val="Default"/>
    <w:rsid w:val="009C221C"/>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rsid w:val="00DE1EA4"/>
    <w:rPr>
      <w:rFonts w:asciiTheme="majorHAnsi" w:eastAsiaTheme="majorEastAsia" w:hAnsiTheme="majorHAnsi" w:cstheme="majorBidi"/>
      <w:b/>
      <w:bCs/>
      <w:i/>
      <w:iCs/>
      <w:color w:val="2B69BF" w:themeColor="accent1" w:themeShade="BF"/>
      <w:sz w:val="18"/>
      <w:lang w:val="de-DE"/>
    </w:rPr>
  </w:style>
  <w:style w:type="character" w:customStyle="1" w:styleId="Heading5Char">
    <w:name w:val="Heading 5 Char"/>
    <w:basedOn w:val="DefaultParagraphFont"/>
    <w:link w:val="Heading5"/>
    <w:uiPriority w:val="9"/>
    <w:rsid w:val="009C221C"/>
    <w:rPr>
      <w:rFonts w:asciiTheme="majorHAnsi" w:eastAsiaTheme="majorEastAsia" w:hAnsiTheme="majorHAnsi" w:cstheme="majorBidi"/>
      <w:b/>
      <w:color w:val="575756" w:themeColor="background2"/>
      <w:sz w:val="18"/>
      <w:lang w:val="de-DE"/>
    </w:rPr>
  </w:style>
  <w:style w:type="paragraph" w:styleId="FootnoteText">
    <w:name w:val="footnote text"/>
    <w:basedOn w:val="Normal"/>
    <w:link w:val="FootnoteTextChar"/>
    <w:uiPriority w:val="99"/>
    <w:unhideWhenUsed/>
    <w:rsid w:val="00437EBC"/>
    <w:pPr>
      <w:spacing w:line="240" w:lineRule="auto"/>
    </w:pPr>
    <w:rPr>
      <w:sz w:val="16"/>
      <w:szCs w:val="20"/>
    </w:rPr>
  </w:style>
  <w:style w:type="character" w:customStyle="1" w:styleId="FootnoteTextChar">
    <w:name w:val="Footnote Text Char"/>
    <w:basedOn w:val="DefaultParagraphFont"/>
    <w:link w:val="FootnoteText"/>
    <w:uiPriority w:val="99"/>
    <w:rsid w:val="00437EBC"/>
    <w:rPr>
      <w:sz w:val="16"/>
      <w:szCs w:val="20"/>
      <w:lang w:val="de-DE"/>
    </w:rPr>
  </w:style>
  <w:style w:type="character" w:styleId="FootnoteReference">
    <w:name w:val="footnote reference"/>
    <w:basedOn w:val="DefaultParagraphFont"/>
    <w:uiPriority w:val="99"/>
    <w:unhideWhenUsed/>
    <w:rsid w:val="00437EBC"/>
    <w:rPr>
      <w:b/>
      <w:bCs/>
      <w:color w:val="005EB8" w:themeColor="text2"/>
      <w:sz w:val="20"/>
      <w:vertAlign w:val="superscript"/>
    </w:rPr>
  </w:style>
  <w:style w:type="paragraph" w:customStyle="1" w:styleId="Listnumberinga">
    <w:name w:val="List numbering a"/>
    <w:basedOn w:val="ListParagraph"/>
    <w:qFormat/>
    <w:rsid w:val="00AD0A04"/>
    <w:pPr>
      <w:numPr>
        <w:numId w:val="2"/>
      </w:numPr>
      <w:ind w:left="426" w:hanging="284"/>
    </w:pPr>
  </w:style>
  <w:style w:type="paragraph" w:customStyle="1" w:styleId="FootnoteText1">
    <w:name w:val="Footnote Text1"/>
    <w:basedOn w:val="Normal"/>
    <w:qFormat/>
    <w:rsid w:val="0074369A"/>
    <w:pPr>
      <w:spacing w:after="120" w:line="240" w:lineRule="auto"/>
      <w:ind w:left="142" w:hanging="142"/>
    </w:pPr>
    <w:rPr>
      <w:sz w:val="16"/>
      <w:szCs w:val="20"/>
    </w:rPr>
  </w:style>
  <w:style w:type="character" w:styleId="CommentReference">
    <w:name w:val="annotation reference"/>
    <w:basedOn w:val="DefaultParagraphFont"/>
    <w:uiPriority w:val="99"/>
    <w:semiHidden/>
    <w:unhideWhenUsed/>
    <w:rsid w:val="00A756C6"/>
    <w:rPr>
      <w:sz w:val="16"/>
      <w:szCs w:val="16"/>
    </w:rPr>
  </w:style>
  <w:style w:type="paragraph" w:styleId="CommentText">
    <w:name w:val="annotation text"/>
    <w:basedOn w:val="Normal"/>
    <w:link w:val="CommentTextChar"/>
    <w:uiPriority w:val="99"/>
    <w:unhideWhenUsed/>
    <w:rsid w:val="00A756C6"/>
    <w:pPr>
      <w:spacing w:line="240" w:lineRule="auto"/>
    </w:pPr>
    <w:rPr>
      <w:sz w:val="20"/>
      <w:szCs w:val="20"/>
    </w:rPr>
  </w:style>
  <w:style w:type="character" w:customStyle="1" w:styleId="CommentTextChar">
    <w:name w:val="Comment Text Char"/>
    <w:basedOn w:val="DefaultParagraphFont"/>
    <w:link w:val="CommentText"/>
    <w:uiPriority w:val="99"/>
    <w:rsid w:val="00A756C6"/>
    <w:rPr>
      <w:sz w:val="20"/>
      <w:szCs w:val="20"/>
      <w:lang w:val="de-DE"/>
    </w:rPr>
  </w:style>
  <w:style w:type="paragraph" w:styleId="CommentSubject">
    <w:name w:val="annotation subject"/>
    <w:basedOn w:val="CommentText"/>
    <w:next w:val="CommentText"/>
    <w:link w:val="CommentSubjectChar"/>
    <w:uiPriority w:val="99"/>
    <w:semiHidden/>
    <w:unhideWhenUsed/>
    <w:rsid w:val="00A756C6"/>
    <w:rPr>
      <w:b/>
      <w:bCs/>
    </w:rPr>
  </w:style>
  <w:style w:type="character" w:customStyle="1" w:styleId="CommentSubjectChar">
    <w:name w:val="Comment Subject Char"/>
    <w:basedOn w:val="CommentTextChar"/>
    <w:link w:val="CommentSubject"/>
    <w:uiPriority w:val="99"/>
    <w:semiHidden/>
    <w:rsid w:val="00A756C6"/>
    <w:rPr>
      <w:b/>
      <w:bCs/>
      <w:sz w:val="20"/>
      <w:szCs w:val="20"/>
      <w:lang w:val="de-DE"/>
    </w:rPr>
  </w:style>
  <w:style w:type="paragraph" w:styleId="BalloonText">
    <w:name w:val="Balloon Text"/>
    <w:basedOn w:val="Normal"/>
    <w:link w:val="BalloonTextChar"/>
    <w:uiPriority w:val="99"/>
    <w:semiHidden/>
    <w:unhideWhenUsed/>
    <w:rsid w:val="00A756C6"/>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756C6"/>
    <w:rPr>
      <w:rFonts w:ascii="Segoe UI" w:hAnsi="Segoe UI" w:cs="Segoe UI"/>
      <w:sz w:val="18"/>
      <w:szCs w:val="18"/>
      <w:lang w:val="de-DE"/>
    </w:rPr>
  </w:style>
  <w:style w:type="paragraph" w:styleId="NoSpacing">
    <w:name w:val="No Spacing"/>
    <w:basedOn w:val="Normal"/>
    <w:uiPriority w:val="1"/>
    <w:qFormat/>
    <w:rsid w:val="00DD6792"/>
    <w:pPr>
      <w:spacing w:line="276" w:lineRule="auto"/>
      <w:ind w:left="3192" w:hanging="357"/>
      <w:jc w:val="both"/>
    </w:pPr>
    <w:rPr>
      <w:rFonts w:ascii="Verdana" w:eastAsia="MS Mincho" w:hAnsi="Verdana" w:cs="Arial"/>
      <w:sz w:val="20"/>
      <w:szCs w:val="20"/>
    </w:rPr>
  </w:style>
  <w:style w:type="character" w:styleId="Strong">
    <w:name w:val="Strong"/>
    <w:basedOn w:val="DefaultParagraphFont"/>
    <w:uiPriority w:val="22"/>
    <w:qFormat/>
    <w:rsid w:val="00264036"/>
    <w:rPr>
      <w:b/>
      <w:bCs/>
    </w:rPr>
  </w:style>
  <w:style w:type="paragraph" w:styleId="Revision">
    <w:name w:val="Revision"/>
    <w:hidden/>
    <w:uiPriority w:val="99"/>
    <w:semiHidden/>
    <w:rsid w:val="0005028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62276">
      <w:bodyDiv w:val="1"/>
      <w:marLeft w:val="0"/>
      <w:marRight w:val="0"/>
      <w:marTop w:val="0"/>
      <w:marBottom w:val="0"/>
      <w:divBdr>
        <w:top w:val="none" w:sz="0" w:space="0" w:color="auto"/>
        <w:left w:val="none" w:sz="0" w:space="0" w:color="auto"/>
        <w:bottom w:val="none" w:sz="0" w:space="0" w:color="auto"/>
        <w:right w:val="none" w:sz="0" w:space="0" w:color="auto"/>
      </w:divBdr>
    </w:div>
    <w:div w:id="1407150076">
      <w:bodyDiv w:val="1"/>
      <w:marLeft w:val="0"/>
      <w:marRight w:val="0"/>
      <w:marTop w:val="0"/>
      <w:marBottom w:val="0"/>
      <w:divBdr>
        <w:top w:val="none" w:sz="0" w:space="0" w:color="auto"/>
        <w:left w:val="none" w:sz="0" w:space="0" w:color="auto"/>
        <w:bottom w:val="none" w:sz="0" w:space="0" w:color="auto"/>
        <w:right w:val="none" w:sz="0" w:space="0" w:color="auto"/>
      </w:divBdr>
    </w:div>
    <w:div w:id="1444492794">
      <w:bodyDiv w:val="1"/>
      <w:marLeft w:val="0"/>
      <w:marRight w:val="0"/>
      <w:marTop w:val="0"/>
      <w:marBottom w:val="0"/>
      <w:divBdr>
        <w:top w:val="none" w:sz="0" w:space="0" w:color="auto"/>
        <w:left w:val="none" w:sz="0" w:space="0" w:color="auto"/>
        <w:bottom w:val="none" w:sz="0" w:space="0" w:color="auto"/>
        <w:right w:val="none" w:sz="0" w:space="0" w:color="auto"/>
      </w:divBdr>
    </w:div>
    <w:div w:id="1725984042">
      <w:bodyDiv w:val="1"/>
      <w:marLeft w:val="0"/>
      <w:marRight w:val="0"/>
      <w:marTop w:val="0"/>
      <w:marBottom w:val="0"/>
      <w:divBdr>
        <w:top w:val="none" w:sz="0" w:space="0" w:color="auto"/>
        <w:left w:val="none" w:sz="0" w:space="0" w:color="auto"/>
        <w:bottom w:val="none" w:sz="0" w:space="0" w:color="auto"/>
        <w:right w:val="none" w:sz="0" w:space="0" w:color="auto"/>
      </w:divBdr>
    </w:div>
    <w:div w:id="1749570932">
      <w:bodyDiv w:val="1"/>
      <w:marLeft w:val="0"/>
      <w:marRight w:val="0"/>
      <w:marTop w:val="0"/>
      <w:marBottom w:val="0"/>
      <w:divBdr>
        <w:top w:val="none" w:sz="0" w:space="0" w:color="auto"/>
        <w:left w:val="none" w:sz="0" w:space="0" w:color="auto"/>
        <w:bottom w:val="none" w:sz="0" w:space="0" w:color="auto"/>
        <w:right w:val="none" w:sz="0" w:space="0" w:color="auto"/>
      </w:divBdr>
    </w:div>
    <w:div w:id="1963919821">
      <w:bodyDiv w:val="1"/>
      <w:marLeft w:val="0"/>
      <w:marRight w:val="0"/>
      <w:marTop w:val="0"/>
      <w:marBottom w:val="0"/>
      <w:divBdr>
        <w:top w:val="none" w:sz="0" w:space="0" w:color="auto"/>
        <w:left w:val="none" w:sz="0" w:space="0" w:color="auto"/>
        <w:bottom w:val="none" w:sz="0" w:space="0" w:color="auto"/>
        <w:right w:val="none" w:sz="0" w:space="0" w:color="auto"/>
      </w:divBdr>
    </w:div>
    <w:div w:id="207566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styles" Target="styles.xml"></Relationship><Relationship Id="rId13" Type="http://schemas.openxmlformats.org/officeDocument/2006/relationships/header" Target="header1.xml"></Relationship><Relationship Id="rId18" Type="http://schemas.openxmlformats.org/officeDocument/2006/relationships/footer" Target="footer3.xml"></Relationship><Relationship Id="rId3" Type="http://schemas.openxmlformats.org/officeDocument/2006/relationships/customXml" Target="../customXml/item3.xml"></Relationship><Relationship Id="rId7" Type="http://schemas.openxmlformats.org/officeDocument/2006/relationships/numbering" Target="numbering.xml"></Relationship><Relationship Id="rId12" Type="http://schemas.openxmlformats.org/officeDocument/2006/relationships/endnotes" Target="endnotes.xml"></Relationship><Relationship Id="rId17" Type="http://schemas.openxmlformats.org/officeDocument/2006/relationships/header" Target="header3.xml"></Relationship><Relationship Id="rId2" Type="http://schemas.openxmlformats.org/officeDocument/2006/relationships/customXml" Target="../customXml/item2.xml"></Relationship><Relationship Id="rId16" Type="http://schemas.openxmlformats.org/officeDocument/2006/relationships/footer" Target="footer2.xml"></Relationship><Relationship Id="rId20" Type="http://schemas.openxmlformats.org/officeDocument/2006/relationships/theme" Target="theme/theme1.xml"></Relationship><Relationship Id="rId1" Type="http://schemas.openxmlformats.org/officeDocument/2006/relationships/customXml" Target="../customXml/item1.xml"></Relationship><Relationship Id="rId6" Type="http://schemas.openxmlformats.org/officeDocument/2006/relationships/customXml" Target="../customXml/item6.xml"></Relationship><Relationship Id="rId11" Type="http://schemas.openxmlformats.org/officeDocument/2006/relationships/footnotes" Target="footnotes.xml"></Relationship><Relationship Id="rId15" Type="http://schemas.openxmlformats.org/officeDocument/2006/relationships/footer" Target="footer1.xml"></Relationship><Relationship Id="rId10" Type="http://schemas.openxmlformats.org/officeDocument/2006/relationships/webSettings" Target="webSettings.xml"></Relationship><Relationship Id="rId19" Type="http://schemas.openxmlformats.org/officeDocument/2006/relationships/fontTable" Target="fontTable.xml"></Relationship><Relationship Id="rId14" Type="http://schemas.openxmlformats.org/officeDocument/2006/relationships/header" Target="header2.xml"></Relationship><Relationship Id="rId9" Type="http://schemas.openxmlformats.org/officeDocument/2006/relationships/settings" Target="settings.xml"></Relationship><Relationship Id="rId21" Type="http://schemas.openxmlformats.org/officeDocument/2006/relationships/customXml" Target="../customXml/item7.xml"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SRB">
      <a:dk1>
        <a:sysClr val="windowText" lastClr="000000"/>
      </a:dk1>
      <a:lt1>
        <a:sysClr val="window" lastClr="FFFFFF"/>
      </a:lt1>
      <a:dk2>
        <a:srgbClr val="005EB8"/>
      </a:dk2>
      <a:lt2>
        <a:srgbClr val="575756"/>
      </a:lt2>
      <a:accent1>
        <a:srgbClr val="5E93DB"/>
      </a:accent1>
      <a:accent2>
        <a:srgbClr val="FFCD00"/>
      </a:accent2>
      <a:accent3>
        <a:srgbClr val="005EB8"/>
      </a:accent3>
      <a:accent4>
        <a:srgbClr val="5E93DB"/>
      </a:accent4>
      <a:accent5>
        <a:srgbClr val="FFCD00"/>
      </a:accent5>
      <a:accent6>
        <a:srgbClr val="005EB8"/>
      </a:accent6>
      <a:hlink>
        <a:srgbClr val="5E93DB"/>
      </a:hlink>
      <a:folHlink>
        <a:srgbClr val="FFCD00"/>
      </a:folHlink>
    </a:clrScheme>
    <a:fontScheme name="SR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no'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EDRMSDocumentDataClassification xmlns="f3f841fd-506a-464f-ac92-98c9b018c271">SRB-ORANGE</EDRMSDocumentDataClassificat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 Document" ma:contentTypeID="0x010100A43BC25537E497438F749B49454AC72B" ma:contentTypeVersion="41" ma:contentTypeDescription="Create a new document in this library." ma:contentTypeScope="" ma:versionID="d12f1bf7a9a1a20f7078bb613eca2b61">
  <xsd:schema xmlns:xsd="http://www.w3.org/2001/XMLSchema" xmlns:xs="http://www.w3.org/2001/XMLSchema" xmlns:p="http://schemas.microsoft.com/office/2006/metadata/properties" xmlns:ns1="http://schemas.microsoft.com/sharepoint/v3" xmlns:ns3="2d99d92f-24b8-40bc-857f-01659c29f5b9" xmlns:ns4="2d3f7154-300c-4df4-8215-1bc8a683cd75" targetNamespace="http://schemas.microsoft.com/office/2006/metadata/properties" ma:root="true" ma:fieldsID="3ea63c0fe26f7cc47ced17473d8d4ebe" ns1:_="" ns3:_="" ns4:_="">
    <xsd:import namespace="http://schemas.microsoft.com/sharepoint/v3"/>
    <xsd:import namespace="2d99d92f-24b8-40bc-857f-01659c29f5b9"/>
    <xsd:import namespace="2d3f7154-300c-4df4-8215-1bc8a683cd75"/>
    <xsd:element name="properties">
      <xsd:complexType>
        <xsd:sequence>
          <xsd:element name="documentManagement">
            <xsd:complexType>
              <xsd:all>
                <xsd:element ref="ns3:EC_Collab_Reference" minOccurs="0"/>
                <xsd:element ref="ns3:EC_Collab_DocumentLanguage" minOccurs="0"/>
                <xsd:element ref="ns3:EC_Collab_Status" minOccurs="0"/>
                <xsd:element ref="ns4:TaxCatchAll" minOccurs="0"/>
                <xsd:element ref="ns4:SRBYearcontr" minOccurs="0"/>
                <xsd:element ref="ns4:SRBCategorycontr" minOccurs="0"/>
                <xsd:element ref="ns4:SRBCountrycontr" minOccurs="0"/>
                <xsd:element ref="ns4:SRBDataClassification"/>
                <xsd:element ref="ns4:SharedWithUsers" minOccurs="0"/>
                <xsd:element ref="ns4: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99d92f-24b8-40bc-857f-01659c29f5b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nillable="true"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2d3f7154-300c-4df4-8215-1bc8a683cd75" elementFormDefault="qualified">
    <xsd:import namespace="http://schemas.microsoft.com/office/2006/documentManagement/types"/>
    <xsd:import namespace="http://schemas.microsoft.com/office/infopath/2007/PartnerControls"/>
    <xsd:element name="TaxCatchAll" ma:index="15" nillable="true" ma:displayName="Taxonomy Catch All Column" ma:description="" ma:hidden="true" ma:list="{a91d9345-ee2a-44b1-8c41-b2c3a3988bbb}" ma:internalName="TaxCatchAll" ma:showField="CatchAllData" ma:web="2d3f7154-300c-4df4-8215-1bc8a683cd75">
      <xsd:complexType>
        <xsd:complexContent>
          <xsd:extension base="dms:MultiChoiceLookup">
            <xsd:sequence>
              <xsd:element name="Value" type="dms:Lookup" maxOccurs="unbounded" minOccurs="0" nillable="true"/>
            </xsd:sequence>
          </xsd:extension>
        </xsd:complexContent>
      </xsd:complexType>
    </xsd:element>
    <xsd:element name="SRBYearcontr" ma:index="16" nillable="true" ma:displayName="Year" ma:format="Dropdown" ma:internalName="SRBYearcont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SRBCategorycontr" ma:index="17" nillable="true" ma:displayName="Category" ma:default="" ma:internalName="SRBCategorycontr">
      <xsd:simpleType>
        <xsd:restriction base="dms:Choice">
          <xsd:enumeration value="DGS"/>
          <xsd:enumeration value="Executive Session"/>
          <xsd:enumeration value="FCCC"/>
          <xsd:enumeration value="IGA Waterfall"/>
          <xsd:enumeration value="Legal Texts"/>
          <xsd:enumeration value="Management Meeting"/>
          <xsd:enumeration value="Plenary Session"/>
          <xsd:enumeration value="Public Bridge Financing"/>
        </xsd:restriction>
      </xsd:simpleType>
    </xsd:element>
    <xsd:element name="SRBCountrycontr" ma:index="18" nillable="true" ma:displayName="Country" ma:format="Dropdown" ma:internalName="SRBCountrycontr">
      <xsd:simpleType>
        <xsd:restriction base="dms:Choice">
          <xsd:enumeration value="Austria"/>
          <xsd:enumeration value="Belgium"/>
          <xsd:enumeration value="Bulgaria"/>
          <xsd:enumeration value="China"/>
          <xsd:enumeration value="Croatia"/>
          <xsd:enumeration value="Cyprus"/>
          <xsd:enumeration value="Denmark"/>
          <xsd:enumeration value="Estonia"/>
          <xsd:enumeration value="Finland"/>
          <xsd:enumeration value="France"/>
          <xsd:enumeration value="Germany"/>
          <xsd:enumeration value="Greece"/>
          <xsd:enumeration value="Ireland"/>
          <xsd:enumeration value="Italy"/>
          <xsd:enumeration value="Japan"/>
          <xsd:enumeration value="Korea"/>
          <xsd:enumeration value="Latvia"/>
          <xsd:enumeration value="Lithuania"/>
          <xsd:enumeration value="Luxembourg"/>
          <xsd:enumeration value="Malta"/>
          <xsd:enumeration value="Mexico"/>
          <xsd:enumeration value="n/a"/>
          <xsd:enumeration value="Netherlands"/>
          <xsd:enumeration value="Poland"/>
          <xsd:enumeration value="Portugal"/>
          <xsd:enumeration value="Romania"/>
          <xsd:enumeration value="Slovakia"/>
          <xsd:enumeration value="Slovenia"/>
          <xsd:enumeration value="Spain"/>
          <xsd:enumeration value="United Kingdom"/>
          <xsd:enumeration value="United States"/>
        </xsd:restriction>
      </xsd:simpleType>
    </xsd:element>
    <xsd:element name="SRBDataClassification" ma:index="19" ma:displayName="Data Classification" ma:default="" ma:internalName="SRBDataClassification">
      <xsd:simpleType>
        <xsd:restriction base="dms:Choice">
          <xsd:enumeration value="SRB-BLUE"/>
          <xsd:enumeration value="SRB-GREEN"/>
          <xsd:enumeration value="SRB-ORANGE"/>
          <xsd:enumeration value="SRB-RED"/>
          <xsd:enumeration value="SRB-YELLOW"/>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2BC6635E9AD01A4FAD84F2F7C8C6A160" ma:contentTypeVersion="1" ma:contentTypeDescription="Create a new document." ma:contentTypeScope="" ma:versionID="b3fa734af124415aa113cab8400bfe23">
  <xsd:schema xmlns:xsd="http://www.w3.org/2001/XMLSchema" xmlns:xs="http://www.w3.org/2001/XMLSchema" xmlns:p="http://schemas.microsoft.com/office/2006/metadata/properties" xmlns:ns2="f3f841fd-506a-464f-ac92-98c9b018c271" targetNamespace="http://schemas.microsoft.com/office/2006/metadata/properties" ma:root="true" ma:fieldsID="77d63b27c3ecc39aaa0ac89ec708a331" ns2:_="">
    <xsd:import namespace="f3f841fd-506a-464f-ac92-98c9b018c271"/>
    <xsd:element name="properties">
      <xsd:complexType>
        <xsd:sequence>
          <xsd:element name="documentManagement">
            <xsd:complexType>
              <xsd:all>
                <xsd:element ref="ns2:EDRMSDocumentData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841fd-506a-464f-ac92-98c9b018c271" elementFormDefault="qualified">
    <xsd:import namespace="http://schemas.microsoft.com/office/2006/documentManagement/types"/>
    <xsd:import namespace="http://schemas.microsoft.com/office/infopath/2007/PartnerControls"/>
    <xsd:element name="EDRMSDocumentDataClassification" ma:index="8" nillable="true" ma:displayName="Data Classification" ma:default="SRB-ORANGE" ma:format="Dropdown" ma:internalName="EDRMSDocumentDataClassification">
      <xsd:simpleType>
        <xsd:restriction base="dms:Choice">
          <xsd:enumeration value="SRB-RED"/>
          <xsd:enumeration value="SRB-ORANGE"/>
          <xsd:enumeration value="SRB-YELLOW"/>
          <xsd:enumeration value="SRB-BLUE"/>
          <xsd:enumeration value="SRB-GRE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Mag. Michaela Lehmann"/>
    <f:field ref="FSCFOLIO_1_1001_FieldCurrentDate" text="27.10.2026 14:26"/>
    <f:field ref="objvalidfrom" date="" text="" edit="true"/>
    <f:field ref="objvalidto" date="" text="" edit="true"/>
    <f:field ref="FSCFOLIO_1_1001_FieldReleasedVersionDate" text=""/>
    <f:field ref="FSCFOLIO_1_1001_FieldReleasedVersionNr" text=""/>
    <f:field ref="CCAPRECONFIG_15_1001_Objektname" text="2027 Decision on the Data Reporting Form  Additional Assurance_DE" edit="true"/>
    <f:field ref="CCAPRECONFIG_15_1001_Objektname" text="2027 Decision on the Data Reporting Form  Additional Assurance_DE"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 ,  " multiline="true"/>
    <f:field ref="EIBPRECONFIG_1_1001_FieldEIBRecipients" text="" multiline="true"/>
    <f:field ref="EIBPRECONFIG_1_1001_FieldEIBSignatures" tex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 multiline="true"/>
    <f:field ref="EIBVFGH_15_1700_FieldPartPlaintiffList" text="" multiline="true"/>
    <f:field ref="EIBVFGH_15_1700_FieldGoesOutToList" text="" multiline="true"/>
    <f:field ref="CUSTOMIZATIONRESSORTBMF_103_2800_FieldRecipientsEmailBMF" text="" multiline="true"/>
    <f:field ref="objname" text="2027 Decision on the Data Reporting Form  Additional Assurance_DE" edit="true"/>
    <f:field ref="objsubject" text="" edit="true"/>
    <f:field ref="objcreatedby" text="Lehmann, Michaela, Mag."/>
    <f:field ref="objcreatedat" date="2026-10-13T11:34:28" text="13.10.2026 11:34:28"/>
    <f:field ref="objchangedby" text="Lehmann, Michaela, Mag."/>
    <f:field ref="objmodifiedat" date="2026-10-13T11:34:28" text="13.10.2026 11:34:28"/>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identities>{"FSCFOLIO_1_1001":{"FieldDocumentNumber":null,"FieldSubject":null,"SignaturesFldCtx":null,"FieldLastSignature":null,"FieldLastSignatureBy":null,"FieldLastSignatureAt":null,"FieldLastSignatureRemark":null,"FieldCurrentUser":null,"FieldCurrentDate":null,"FieldReleasedVersionDate":null,"FieldReleasedVersionNr":null},"_":{"doc":null,"objvalidfrom":null,"objvalidto":null,"objname":null,"objsubject":null,"objcreatedby":null,"objcreatedat":null,"objchangedby":null,"objmodifiedat":null},"CCAPRECONFIG_15_1001":{"Objektname":null},"EIBPRECONFIG_1_1001":{"FieldEIBAttachments":null,"FieldEIBNextFiles":null,"FieldEIBPreviousFiles":null,"FieldEIBRelatedFiles":null,"FieldEIBCompletedOrdinals":null,"FieldEIBOUAddr":null,"FieldEIBRecipients":null,"FieldEIBSignatures":null,"FieldCCAAddrAbschriftsbemerkung":null,"FieldCCAAddrAdresse":null,"FieldCCAAddrPostalischeAdresse":null,"FieldCCAIncomingSubject":null,"FieldCCAPersonalSubjAddress":null,"FieldCCASubfileSubject":null,"FieldCCASubject":null},"EIBVFGH_15_1700":{"FieldPartPlaintiffList":null,"FieldGoesOutToList":null},"CUSTOMIZATIONRESSORTBMF_103_2800":{"FieldRecipientsEmailBMF":null}}</f:identities>
  <f:translations>{}</f:translations>
</f:fields>
</file>

<file path=customXml/itemProps1.xml><?xml version="1.0" encoding="utf-8"?>
<ds:datastoreItem xmlns:ds="http://schemas.openxmlformats.org/officeDocument/2006/customXml" ds:itemID="{BA8823CB-250D-47E7-B042-187DE53A79C1}">
  <ds:schemaRefs>
    <ds:schemaRef ds:uri="http://schemas.microsoft.com/office/2006/metadata/properties"/>
    <ds:schemaRef ds:uri="http://schemas.microsoft.com/office/infopath/2007/PartnerControls"/>
    <ds:schemaRef ds:uri="2d3f7154-300c-4df4-8215-1bc8a683cd75"/>
    <ds:schemaRef ds:uri="2d99d92f-24b8-40bc-857f-01659c29f5b9"/>
  </ds:schemaRefs>
</ds:datastoreItem>
</file>

<file path=customXml/itemProps2.xml><?xml version="1.0" encoding="utf-8"?>
<ds:datastoreItem xmlns:ds="http://schemas.openxmlformats.org/officeDocument/2006/customXml" ds:itemID="{3E9CCFC1-B7B8-4D22-AC18-29C5AD5DD05B}">
  <ds:schemaRefs>
    <ds:schemaRef ds:uri="http://schemas.openxmlformats.org/officeDocument/2006/bibliography"/>
  </ds:schemaRefs>
</ds:datastoreItem>
</file>

<file path=customXml/itemProps3.xml><?xml version="1.0" encoding="utf-8"?>
<ds:datastoreItem xmlns:ds="http://schemas.openxmlformats.org/officeDocument/2006/customXml" ds:itemID="{2B12E2D0-31D0-4D44-9317-BB52A68B4FB0}">
  <ds:schemaRefs>
    <ds:schemaRef ds:uri="http://schemas.microsoft.com/sharepoint/v3/contenttype/forms"/>
  </ds:schemaRefs>
</ds:datastoreItem>
</file>

<file path=customXml/itemProps4.xml><?xml version="1.0" encoding="utf-8"?>
<ds:datastoreItem xmlns:ds="http://schemas.openxmlformats.org/officeDocument/2006/customXml" ds:itemID="{F8CCB436-51FA-4A41-87CB-A770E8BD4267}">
  <ds:schemaRefs>
    <ds:schemaRef ds:uri="http://schemas.microsoft.com/sharepoint/events"/>
  </ds:schemaRefs>
</ds:datastoreItem>
</file>

<file path=customXml/itemProps5.xml><?xml version="1.0" encoding="utf-8"?>
<ds:datastoreItem xmlns:ds="http://schemas.openxmlformats.org/officeDocument/2006/customXml" ds:itemID="{1D23F206-FF42-4B4D-A811-4B1F00F61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99d92f-24b8-40bc-857f-01659c29f5b9"/>
    <ds:schemaRef ds:uri="2d3f7154-300c-4df4-8215-1bc8a683c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FDE9E57-26A2-4135-9691-A294159A6799}"/>
</file>

<file path=customXml/itemProps7.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3130</Words>
  <Characters>17218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ANNEX Ia_Draft decision on the Data Reporting Form &amp; Additional Assurance</vt:lpstr>
    </vt:vector>
  </TitlesOfParts>
  <Company>CDT</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Ia_Draft decision on the Data Reporting Form &amp; Additional Assurance</dc:title>
  <dc:subject/>
  <dc:creator>CDT</dc:creator>
  <cp:keywords/>
  <dc:description/>
  <cp:lastModifiedBy>Roberto CORIGLIANO</cp:lastModifiedBy>
  <cp:revision>8</cp:revision>
  <cp:lastPrinted>2026-06-30T15:08:00Z</cp:lastPrinted>
  <dcterms:created xsi:type="dcterms:W3CDTF">2026-09-11T09:53:00Z</dcterms:created>
  <dcterms:modified xsi:type="dcterms:W3CDTF">2026-10-09T10:57:00Z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0x0101002BC6635E9AD01A4FAD84F2F7C8C6A160</vt:lpwstr>
  </property>
  <property name="SRBFilePlan" pid="3" fmtid="{D5CDD505-2E9C-101B-9397-08002B2CF9AE}">
    <vt:lpwstr>1;#11.01.020.010 Contributions - Ex-Ante Calculations|ad3ede40-de5f-4eb5-bc29-096614c9e95d</vt:lpwstr>
  </property>
  <property name="_dlc_DocIdItemGuid" pid="4" fmtid="{D5CDD505-2E9C-101B-9397-08002B2CF9AE}">
    <vt:lpwstr>a3e756b3-78e3-4db4-aced-8868ff595b78</vt:lpwstr>
  </property>
  <property name="fe1e379ae185499f968b54a99aa2f245" pid="5" fmtid="{D5CDD505-2E9C-101B-9397-08002B2CF9AE}">
    <vt:lpwstr>11.01.020.010 Contributions - Ex-Ante Calculations|ad3ede40-de5f-4eb5-bc29-096614c9e95d</vt:lpwstr>
  </property>
  <property name="FSC#EIBPRECONFIG@1.1001:EIBInternalApprovedAt" pid="6" fmtid="{D5CDD505-2E9C-101B-9397-08002B2CF9AE}">
    <vt:lpwstr/>
  </property>
  <property name="FSC#EIBPRECONFIG@1.1001:EIBInternalApprovedBy" pid="7" fmtid="{D5CDD505-2E9C-101B-9397-08002B2CF9AE}">
    <vt:lpwstr/>
  </property>
  <property name="FSC#EIBPRECONFIG@1.1001:EIBInternalApprovedByPostTitle" pid="8" fmtid="{D5CDD505-2E9C-101B-9397-08002B2CF9AE}">
    <vt:lpwstr/>
  </property>
  <property name="FSC#EIBPRECONFIG@1.1001:EIBSettlementApprovedBy" pid="9" fmtid="{D5CDD505-2E9C-101B-9397-08002B2CF9AE}">
    <vt:lpwstr/>
  </property>
  <property name="FSC#EIBPRECONFIG@1.1001:EIBSettlementApprovedByFirstnameSurname" pid="10" fmtid="{D5CDD505-2E9C-101B-9397-08002B2CF9AE}">
    <vt:lpwstr/>
  </property>
  <property name="FSC#EIBPRECONFIG@1.1001:EIBSettlementApprovedByPostTitle" pid="11" fmtid="{D5CDD505-2E9C-101B-9397-08002B2CF9AE}">
    <vt:lpwstr/>
  </property>
  <property name="FSC#EIBPRECONFIG@1.1001:EIBApprovedAt" pid="12" fmtid="{D5CDD505-2E9C-101B-9397-08002B2CF9AE}">
    <vt:lpwstr/>
  </property>
  <property name="FSC#EIBPRECONFIG@1.1001:EIBApprovedBy" pid="13" fmtid="{D5CDD505-2E9C-101B-9397-08002B2CF9AE}">
    <vt:lpwstr/>
  </property>
  <property name="FSC#EIBPRECONFIG@1.1001:EIBApprovedBySubst" pid="14" fmtid="{D5CDD505-2E9C-101B-9397-08002B2CF9AE}">
    <vt:lpwstr/>
  </property>
  <property name="FSC#EIBPRECONFIG@1.1001:EIBApprovedByTitle" pid="15" fmtid="{D5CDD505-2E9C-101B-9397-08002B2CF9AE}">
    <vt:lpwstr/>
  </property>
  <property name="FSC#EIBPRECONFIG@1.1001:EIBApprovedByPostTitle" pid="16" fmtid="{D5CDD505-2E9C-101B-9397-08002B2CF9AE}">
    <vt:lpwstr/>
  </property>
  <property name="FSC#EIBPRECONFIG@1.1001:EIBDepartment" pid="17" fmtid="{D5CDD505-2E9C-101B-9397-08002B2CF9AE}">
    <vt:lpwstr>FMA - AWV (Abwicklungsverfahren)</vt:lpwstr>
  </property>
  <property name="FSC#EIBPRECONFIG@1.1001:EIBDispatchedBy" pid="18" fmtid="{D5CDD505-2E9C-101B-9397-08002B2CF9AE}">
    <vt:lpwstr/>
  </property>
  <property name="FSC#EIBPRECONFIG@1.1001:EIBDispatchedByPostTitle" pid="19" fmtid="{D5CDD505-2E9C-101B-9397-08002B2CF9AE}">
    <vt:lpwstr/>
  </property>
  <property name="FSC#EIBPRECONFIG@1.1001:ExtRefInc" pid="20" fmtid="{D5CDD505-2E9C-101B-9397-08002B2CF9AE}">
    <vt:lpwstr/>
  </property>
  <property name="FSC#EIBPRECONFIG@1.1001:IncomingAddrdate" pid="21" fmtid="{D5CDD505-2E9C-101B-9397-08002B2CF9AE}">
    <vt:lpwstr/>
  </property>
  <property name="FSC#EIBPRECONFIG@1.1001:IncomingDelivery" pid="22" fmtid="{D5CDD505-2E9C-101B-9397-08002B2CF9AE}">
    <vt:lpwstr/>
  </property>
  <property name="FSC#EIBPRECONFIG@1.1001:OwnerEmail" pid="23" fmtid="{D5CDD505-2E9C-101B-9397-08002B2CF9AE}">
    <vt:lpwstr>michaela.lehmann@fma.gv.at</vt:lpwstr>
  </property>
  <property name="FSC#EIBPRECONFIG@1.1001:FileOUEmail" pid="24" fmtid="{D5CDD505-2E9C-101B-9397-08002B2CF9AE}">
    <vt:lpwstr/>
  </property>
  <property name="FSC#EIBPRECONFIG@1.1001:OUEmail" pid="25" fmtid="{D5CDD505-2E9C-101B-9397-08002B2CF9AE}">
    <vt:lpwstr>fma@fma.gv.at</vt:lpwstr>
  </property>
  <property name="FSC#EIBPRECONFIG@1.1001:OwnerGender" pid="26" fmtid="{D5CDD505-2E9C-101B-9397-08002B2CF9AE}">
    <vt:lpwstr/>
  </property>
  <property name="FSC#EIBPRECONFIG@1.1001:Priority" pid="27" fmtid="{D5CDD505-2E9C-101B-9397-08002B2CF9AE}">
    <vt:lpwstr>Nein</vt:lpwstr>
  </property>
  <property name="FSC#EIBPRECONFIG@1.1001:PreviousFiles" pid="28" fmtid="{D5CDD505-2E9C-101B-9397-08002B2CF9AE}">
    <vt:lpwstr/>
  </property>
  <property name="FSC#EIBPRECONFIG@1.1001:NextFiles" pid="29" fmtid="{D5CDD505-2E9C-101B-9397-08002B2CF9AE}">
    <vt:lpwstr/>
  </property>
  <property name="FSC#EIBPRECONFIG@1.1001:RelatedFiles" pid="30" fmtid="{D5CDD505-2E9C-101B-9397-08002B2CF9AE}">
    <vt:lpwstr/>
  </property>
  <property name="FSC#EIBPRECONFIG@1.1001:CompletedOrdinals" pid="31" fmtid="{D5CDD505-2E9C-101B-9397-08002B2CF9AE}">
    <vt:lpwstr/>
  </property>
  <property name="FSC#EIBPRECONFIG@1.1001:NrAttachments" pid="32" fmtid="{D5CDD505-2E9C-101B-9397-08002B2CF9AE}">
    <vt:lpwstr/>
  </property>
  <property name="FSC#EIBPRECONFIG@1.1001:Attachments" pid="33" fmtid="{D5CDD505-2E9C-101B-9397-08002B2CF9AE}">
    <vt:lpwstr/>
  </property>
  <property name="FSC#EIBPRECONFIG@1.1001:SubjectArea" pid="34" fmtid="{D5CDD505-2E9C-101B-9397-08002B2CF9AE}">
    <vt:lpwstr/>
  </property>
  <property name="FSC#EIBPRECONFIG@1.1001:Recipients" pid="35" fmtid="{D5CDD505-2E9C-101B-9397-08002B2CF9AE}">
    <vt:lpwstr/>
  </property>
  <property name="FSC#EIBPRECONFIG@1.1001:Classified" pid="36" fmtid="{D5CDD505-2E9C-101B-9397-08002B2CF9AE}">
    <vt:lpwstr/>
  </property>
  <property name="FSC#EIBPRECONFIG@1.1001:Deadline" pid="37" fmtid="{D5CDD505-2E9C-101B-9397-08002B2CF9AE}">
    <vt:lpwstr/>
  </property>
  <property name="FSC#EIBPRECONFIG@1.1001:SettlementSubj" pid="38" fmtid="{D5CDD505-2E9C-101B-9397-08002B2CF9AE}">
    <vt:lpwstr/>
  </property>
  <property name="FSC#EIBPRECONFIG@1.1001:OUAddr" pid="39" fmtid="{D5CDD505-2E9C-101B-9397-08002B2CF9AE}">
    <vt:lpwstr> ,  </vt:lpwstr>
  </property>
  <property name="FSC#EIBPRECONFIG@1.1001:FileOUName" pid="40" fmtid="{D5CDD505-2E9C-101B-9397-08002B2CF9AE}">
    <vt:lpwstr/>
  </property>
  <property name="FSC#EIBPRECONFIG@1.1001:FileOUDescr" pid="41" fmtid="{D5CDD505-2E9C-101B-9397-08002B2CF9AE}">
    <vt:lpwstr/>
  </property>
  <property name="FSC#EIBPRECONFIG@1.1001:OUDescr" pid="42" fmtid="{D5CDD505-2E9C-101B-9397-08002B2CF9AE}">
    <vt:lpwstr/>
  </property>
  <property name="FSC#EIBPRECONFIG@1.1001:Signatures" pid="43" fmtid="{D5CDD505-2E9C-101B-9397-08002B2CF9AE}">
    <vt:lpwstr/>
  </property>
  <property name="FSC#EIBPRECONFIG@1.1001:currentuser" pid="44" fmtid="{D5CDD505-2E9C-101B-9397-08002B2CF9AE}">
    <vt:lpwstr>COO.2127.99.1.527420</vt:lpwstr>
  </property>
  <property name="FSC#EIBPRECONFIG@1.1001:currentuserrolegroup" pid="45" fmtid="{D5CDD505-2E9C-101B-9397-08002B2CF9AE}">
    <vt:lpwstr>COO.2127.99.1.527164</vt:lpwstr>
  </property>
  <property name="FSC#EIBPRECONFIG@1.1001:currentuserroleposition" pid="46" fmtid="{D5CDD505-2E9C-101B-9397-08002B2CF9AE}">
    <vt:lpwstr>COO.1.1001.1.66925</vt:lpwstr>
  </property>
  <property name="FSC#EIBPRECONFIG@1.1001:currentuserroot" pid="47" fmtid="{D5CDD505-2E9C-101B-9397-08002B2CF9AE}">
    <vt:lpwstr>COO.2127.100.1.521044</vt:lpwstr>
  </property>
  <property name="FSC#EIBPRECONFIG@1.1001:toplevelobject" pid="48" fmtid="{D5CDD505-2E9C-101B-9397-08002B2CF9AE}">
    <vt:lpwstr/>
  </property>
  <property name="FSC#EIBPRECONFIG@1.1001:objchangedby" pid="49" fmtid="{D5CDD505-2E9C-101B-9397-08002B2CF9AE}">
    <vt:lpwstr>Mag. Michaela Lehmann</vt:lpwstr>
  </property>
  <property name="FSC#EIBPRECONFIG@1.1001:objchangedbyPostTitle" pid="50" fmtid="{D5CDD505-2E9C-101B-9397-08002B2CF9AE}">
    <vt:lpwstr/>
  </property>
  <property name="FSC#EIBPRECONFIG@1.1001:objchangedat" pid="51" fmtid="{D5CDD505-2E9C-101B-9397-08002B2CF9AE}">
    <vt:lpwstr>13.10.2026</vt:lpwstr>
  </property>
  <property name="FSC#EIBPRECONFIG@1.1001:objname" pid="52" fmtid="{D5CDD505-2E9C-101B-9397-08002B2CF9AE}">
    <vt:lpwstr>2027 Decision on the Data Reporting Form  Additional Assurance_x005f_DE</vt:lpwstr>
  </property>
  <property name="FSC#EIBPRECONFIG@1.1001:EIBProcessResponsiblePhone" pid="53" fmtid="{D5CDD505-2E9C-101B-9397-08002B2CF9AE}">
    <vt:lpwstr/>
  </property>
  <property name="FSC#EIBPRECONFIG@1.1001:EIBProcessResponsibleMail" pid="54" fmtid="{D5CDD505-2E9C-101B-9397-08002B2CF9AE}">
    <vt:lpwstr/>
  </property>
  <property name="FSC#EIBPRECONFIG@1.1001:EIBProcessResponsibleFax" pid="55" fmtid="{D5CDD505-2E9C-101B-9397-08002B2CF9AE}">
    <vt:lpwstr/>
  </property>
  <property name="FSC#EIBPRECONFIG@1.1001:EIBProcessResponsiblePostTitle" pid="56" fmtid="{D5CDD505-2E9C-101B-9397-08002B2CF9AE}">
    <vt:lpwstr/>
  </property>
  <property name="FSC#EIBPRECONFIG@1.1001:EIBProcessResponsible" pid="57" fmtid="{D5CDD505-2E9C-101B-9397-08002B2CF9AE}">
    <vt:lpwstr/>
  </property>
  <property name="FSC#EIBPRECONFIG@1.1001:FileResponsibleFullName" pid="58" fmtid="{D5CDD505-2E9C-101B-9397-08002B2CF9AE}">
    <vt:lpwstr/>
  </property>
  <property name="FSC#EIBPRECONFIG@1.1001:FileResponsibleFirstnameSurname" pid="59" fmtid="{D5CDD505-2E9C-101B-9397-08002B2CF9AE}">
    <vt:lpwstr/>
  </property>
  <property name="FSC#EIBPRECONFIG@1.1001:FileResponsibleEmail" pid="60" fmtid="{D5CDD505-2E9C-101B-9397-08002B2CF9AE}">
    <vt:lpwstr/>
  </property>
  <property name="FSC#EIBPRECONFIG@1.1001:FileResponsibleExtension" pid="61" fmtid="{D5CDD505-2E9C-101B-9397-08002B2CF9AE}">
    <vt:lpwstr/>
  </property>
  <property name="FSC#EIBPRECONFIG@1.1001:FileResponsibleFaxExtension" pid="62" fmtid="{D5CDD505-2E9C-101B-9397-08002B2CF9AE}">
    <vt:lpwstr/>
  </property>
  <property name="FSC#EIBPRECONFIG@1.1001:FileResponsibleGender" pid="63" fmtid="{D5CDD505-2E9C-101B-9397-08002B2CF9AE}">
    <vt:lpwstr/>
  </property>
  <property name="FSC#EIBPRECONFIG@1.1001:FileResponsibleAddr" pid="64" fmtid="{D5CDD505-2E9C-101B-9397-08002B2CF9AE}">
    <vt:lpwstr/>
  </property>
  <property name="FSC#EIBPRECONFIG@1.1001:OwnerPostTitle" pid="65" fmtid="{D5CDD505-2E9C-101B-9397-08002B2CF9AE}">
    <vt:lpwstr/>
  </property>
  <property name="FSC#EIBPRECONFIG@1.1001:OwnerAddr" pid="66" fmtid="{D5CDD505-2E9C-101B-9397-08002B2CF9AE}">
    <vt:lpwstr>Otto-Wagner-Platz 5 , 1090 Wien</vt:lpwstr>
  </property>
  <property name="FSC#EIBPRECONFIG@1.1001:IsFileAttachment" pid="67" fmtid="{D5CDD505-2E9C-101B-9397-08002B2CF9AE}">
    <vt:lpwstr>Nein</vt:lpwstr>
  </property>
  <property name="FSC#EIBPRECONFIG@1.1001:AddrTelefon" pid="68" fmtid="{D5CDD505-2E9C-101B-9397-08002B2CF9AE}">
    <vt:lpwstr/>
  </property>
  <property name="FSC#EIBPRECONFIG@1.1001:AddrGeburtsdatum" pid="69" fmtid="{D5CDD505-2E9C-101B-9397-08002B2CF9AE}">
    <vt:lpwstr/>
  </property>
  <property name="FSC#EIBPRECONFIG@1.1001:AddrGeboren_am_2" pid="70" fmtid="{D5CDD505-2E9C-101B-9397-08002B2CF9AE}">
    <vt:lpwstr/>
  </property>
  <property name="FSC#EIBPRECONFIG@1.1001:AddrBundesland" pid="71" fmtid="{D5CDD505-2E9C-101B-9397-08002B2CF9AE}">
    <vt:lpwstr/>
  </property>
  <property name="FSC#EIBPRECONFIG@1.1001:AddrBezeichnung" pid="72" fmtid="{D5CDD505-2E9C-101B-9397-08002B2CF9AE}">
    <vt:lpwstr/>
  </property>
  <property name="FSC#EIBPRECONFIG@1.1001:AddrGruppeName_vollstaendig" pid="73" fmtid="{D5CDD505-2E9C-101B-9397-08002B2CF9AE}">
    <vt:lpwstr/>
  </property>
  <property name="FSC#EIBPRECONFIG@1.1001:AddrAdresseBeschreibung" pid="74" fmtid="{D5CDD505-2E9C-101B-9397-08002B2CF9AE}">
    <vt:lpwstr/>
  </property>
  <property name="FSC#EIBPRECONFIG@1.1001:AddrName_Ergaenzung" pid="75" fmtid="{D5CDD505-2E9C-101B-9397-08002B2CF9AE}">
    <vt:lpwstr/>
  </property>
  <property name="FSC#FMACONFIG@15.1400:FMAFirstApprovedby" pid="76" fmtid="{D5CDD505-2E9C-101B-9397-08002B2CF9AE}">
    <vt:lpwstr/>
  </property>
  <property name="FSC#FMACONFIG@15.1400:FMAFirstApprovedbyEng" pid="77" fmtid="{D5CDD505-2E9C-101B-9397-08002B2CF9AE}">
    <vt:lpwstr/>
  </property>
  <property name="FSC#FMACONFIG@15.1400:FMAApprovedby" pid="78" fmtid="{D5CDD505-2E9C-101B-9397-08002B2CF9AE}">
    <vt:lpwstr/>
  </property>
  <property name="FSC#FMACONFIG@15.1400:FMAApprovedbyEng" pid="79" fmtid="{D5CDD505-2E9C-101B-9397-08002B2CF9AE}">
    <vt:lpwstr/>
  </property>
  <property name="FSC#FMACONFIG@15.1400:FMAJobNr" pid="80" fmtid="{D5CDD505-2E9C-101B-9397-08002B2CF9AE}">
    <vt:lpwstr/>
  </property>
  <property name="FSC#FMACONFIG@15.1400:FMASigManual" pid="81" fmtid="{D5CDD505-2E9C-101B-9397-08002B2CF9AE}">
    <vt:lpwstr/>
  </property>
  <property name="FSC#FMACONFIG@15.1400:FMAOutNr" pid="82" fmtid="{D5CDD505-2E9C-101B-9397-08002B2CF9AE}">
    <vt:lpwstr/>
  </property>
  <property name="FSC#FMACONFIG@15.1400:FMAFirstApprovedRoleFunction" pid="83" fmtid="{D5CDD505-2E9C-101B-9397-08002B2CF9AE}">
    <vt:lpwstr/>
  </property>
  <property name="FSC#FMACONFIG@15.1400:FMAApprovedRoleFunction" pid="84" fmtid="{D5CDD505-2E9C-101B-9397-08002B2CF9AE}">
    <vt:lpwstr/>
  </property>
  <property name="FSC#FMACONFIG@15.1400:FMAOwnerEng" pid="85" fmtid="{D5CDD505-2E9C-101B-9397-08002B2CF9AE}">
    <vt:lpwstr>Michaela Lehmann</vt:lpwstr>
  </property>
  <property name="FSC#COOELAK@1.1001:Subject" pid="86" fmtid="{D5CDD505-2E9C-101B-9397-08002B2CF9AE}">
    <vt:lpwstr/>
  </property>
  <property name="FSC#COOELAK@1.1001:FileReference" pid="87" fmtid="{D5CDD505-2E9C-101B-9397-08002B2CF9AE}">
    <vt:lpwstr/>
  </property>
  <property name="FSC#COOELAK@1.1001:FileRefYear" pid="88" fmtid="{D5CDD505-2E9C-101B-9397-08002B2CF9AE}">
    <vt:lpwstr/>
  </property>
  <property name="FSC#COOELAK@1.1001:FileRefOrdinal" pid="89" fmtid="{D5CDD505-2E9C-101B-9397-08002B2CF9AE}">
    <vt:lpwstr/>
  </property>
  <property name="FSC#COOELAK@1.1001:FileRefOU" pid="90" fmtid="{D5CDD505-2E9C-101B-9397-08002B2CF9AE}">
    <vt:lpwstr/>
  </property>
  <property name="FSC#COOELAK@1.1001:Organization" pid="91" fmtid="{D5CDD505-2E9C-101B-9397-08002B2CF9AE}">
    <vt:lpwstr/>
  </property>
  <property name="FSC#COOELAK@1.1001:Owner" pid="92" fmtid="{D5CDD505-2E9C-101B-9397-08002B2CF9AE}">
    <vt:lpwstr>Mag. Michaela Lehmann</vt:lpwstr>
  </property>
  <property name="FSC#COOELAK@1.1001:OwnerExtension" pid="93" fmtid="{D5CDD505-2E9C-101B-9397-08002B2CF9AE}">
    <vt:lpwstr>8108</vt:lpwstr>
  </property>
  <property name="FSC#COOELAK@1.1001:OwnerFaxExtension" pid="94" fmtid="{D5CDD505-2E9C-101B-9397-08002B2CF9AE}">
    <vt:lpwstr>8199</vt:lpwstr>
  </property>
  <property name="FSC#COOELAK@1.1001:DispatchedBy" pid="95" fmtid="{D5CDD505-2E9C-101B-9397-08002B2CF9AE}">
    <vt:lpwstr/>
  </property>
  <property name="FSC#COOELAK@1.1001:DispatchedAt" pid="96" fmtid="{D5CDD505-2E9C-101B-9397-08002B2CF9AE}">
    <vt:lpwstr/>
  </property>
  <property name="FSC#COOELAK@1.1001:ApprovedBy" pid="97" fmtid="{D5CDD505-2E9C-101B-9397-08002B2CF9AE}">
    <vt:lpwstr/>
  </property>
  <property name="FSC#COOELAK@1.1001:ApprovedAt" pid="98" fmtid="{D5CDD505-2E9C-101B-9397-08002B2CF9AE}">
    <vt:lpwstr/>
  </property>
  <property name="FSC#COOELAK@1.1001:Department" pid="99" fmtid="{D5CDD505-2E9C-101B-9397-08002B2CF9AE}">
    <vt:lpwstr>FMA - AWV (Abwicklungsverfahren)</vt:lpwstr>
  </property>
  <property name="FSC#COOELAK@1.1001:CreatedAt" pid="100" fmtid="{D5CDD505-2E9C-101B-9397-08002B2CF9AE}">
    <vt:lpwstr>13.10.2026</vt:lpwstr>
  </property>
  <property name="FSC#COOELAK@1.1001:OU" pid="101" fmtid="{D5CDD505-2E9C-101B-9397-08002B2CF9AE}">
    <vt:lpwstr>FMA - AWV (Abwicklungsverfahren)</vt:lpwstr>
  </property>
  <property name="FSC#COOELAK@1.1001:Priority" pid="102" fmtid="{D5CDD505-2E9C-101B-9397-08002B2CF9AE}">
    <vt:lpwstr> ()</vt:lpwstr>
  </property>
  <property name="FSC#COOELAK@1.1001:ObjBarCode" pid="103" fmtid="{D5CDD505-2E9C-101B-9397-08002B2CF9AE}">
    <vt:lpwstr>*COO.2127.100.3.1976389*</vt:lpwstr>
  </property>
  <property name="FSC#COOELAK@1.1001:RefBarCode" pid="104" fmtid="{D5CDD505-2E9C-101B-9397-08002B2CF9AE}">
    <vt:lpwstr/>
  </property>
  <property name="FSC#COOELAK@1.1001:FileRefBarCode" pid="105" fmtid="{D5CDD505-2E9C-101B-9397-08002B2CF9AE}">
    <vt:lpwstr>**</vt:lpwstr>
  </property>
  <property name="FSC#COOELAK@1.1001:ExternalRef" pid="106" fmtid="{D5CDD505-2E9C-101B-9397-08002B2CF9AE}">
    <vt:lpwstr/>
  </property>
  <property name="FSC#COOELAK@1.1001:IncomingNumber" pid="107" fmtid="{D5CDD505-2E9C-101B-9397-08002B2CF9AE}">
    <vt:lpwstr/>
  </property>
  <property name="FSC#COOELAK@1.1001:IncomingSubject" pid="108" fmtid="{D5CDD505-2E9C-101B-9397-08002B2CF9AE}">
    <vt:lpwstr/>
  </property>
  <property name="FSC#COOELAK@1.1001:ProcessResponsible" pid="109" fmtid="{D5CDD505-2E9C-101B-9397-08002B2CF9AE}">
    <vt:lpwstr/>
  </property>
  <property name="FSC#COOELAK@1.1001:ProcessResponsiblePhone" pid="110" fmtid="{D5CDD505-2E9C-101B-9397-08002B2CF9AE}">
    <vt:lpwstr/>
  </property>
  <property name="FSC#COOELAK@1.1001:ProcessResponsibleMail" pid="111" fmtid="{D5CDD505-2E9C-101B-9397-08002B2CF9AE}">
    <vt:lpwstr/>
  </property>
  <property name="FSC#COOELAK@1.1001:ProcessResponsibleFax" pid="112" fmtid="{D5CDD505-2E9C-101B-9397-08002B2CF9AE}">
    <vt:lpwstr/>
  </property>
  <property name="FSC#COOELAK@1.1001:ApproverFirstName" pid="113" fmtid="{D5CDD505-2E9C-101B-9397-08002B2CF9AE}">
    <vt:lpwstr/>
  </property>
  <property name="FSC#COOELAK@1.1001:ApproverSurName" pid="114" fmtid="{D5CDD505-2E9C-101B-9397-08002B2CF9AE}">
    <vt:lpwstr/>
  </property>
  <property name="FSC#COOELAK@1.1001:ApproverTitle" pid="115" fmtid="{D5CDD505-2E9C-101B-9397-08002B2CF9AE}">
    <vt:lpwstr/>
  </property>
  <property name="FSC#COOELAK@1.1001:ExternalDate" pid="116" fmtid="{D5CDD505-2E9C-101B-9397-08002B2CF9AE}">
    <vt:lpwstr/>
  </property>
  <property name="FSC#COOELAK@1.1001:SettlementApprovedAt" pid="117" fmtid="{D5CDD505-2E9C-101B-9397-08002B2CF9AE}">
    <vt:lpwstr/>
  </property>
  <property name="FSC#COOELAK@1.1001:BaseNumber" pid="118" fmtid="{D5CDD505-2E9C-101B-9397-08002B2CF9AE}">
    <vt:lpwstr/>
  </property>
  <property name="FSC#COOELAK@1.1001:CurrentUserRolePos" pid="119" fmtid="{D5CDD505-2E9C-101B-9397-08002B2CF9AE}">
    <vt:lpwstr>Genehmiger/in</vt:lpwstr>
  </property>
  <property name="FSC#COOELAK@1.1001:CurrentUserEmail" pid="120" fmtid="{D5CDD505-2E9C-101B-9397-08002B2CF9AE}">
    <vt:lpwstr>michaela.lehmann@fma.gv.at</vt:lpwstr>
  </property>
  <property name="FSC#ELAKGOV@1.1001:PersonalSubjGender" pid="121" fmtid="{D5CDD505-2E9C-101B-9397-08002B2CF9AE}">
    <vt:lpwstr/>
  </property>
  <property name="FSC#ELAKGOV@1.1001:PersonalSubjFirstName" pid="122" fmtid="{D5CDD505-2E9C-101B-9397-08002B2CF9AE}">
    <vt:lpwstr/>
  </property>
  <property name="FSC#ELAKGOV@1.1001:PersonalSubjSurName" pid="123" fmtid="{D5CDD505-2E9C-101B-9397-08002B2CF9AE}">
    <vt:lpwstr/>
  </property>
  <property name="FSC#ELAKGOV@1.1001:PersonalSubjSalutation" pid="124" fmtid="{D5CDD505-2E9C-101B-9397-08002B2CF9AE}">
    <vt:lpwstr/>
  </property>
  <property name="FSC#ELAKGOV@1.1001:PersonalSubjAddress" pid="125" fmtid="{D5CDD505-2E9C-101B-9397-08002B2CF9AE}">
    <vt:lpwstr/>
  </property>
  <property name="FSC#ATSTATECFG@1.1001:Office" pid="126" fmtid="{D5CDD505-2E9C-101B-9397-08002B2CF9AE}">
    <vt:lpwstr/>
  </property>
  <property name="FSC#ATSTATECFG@1.1001:Agent" pid="127" fmtid="{D5CDD505-2E9C-101B-9397-08002B2CF9AE}">
    <vt:lpwstr/>
  </property>
  <property name="FSC#ATSTATECFG@1.1001:AgentPhone" pid="128" fmtid="{D5CDD505-2E9C-101B-9397-08002B2CF9AE}">
    <vt:lpwstr/>
  </property>
  <property name="FSC#ATSTATECFG@1.1001:DepartmentFax" pid="129" fmtid="{D5CDD505-2E9C-101B-9397-08002B2CF9AE}">
    <vt:lpwstr/>
  </property>
  <property name="FSC#ATSTATECFG@1.1001:DepartmentEmail" pid="130" fmtid="{D5CDD505-2E9C-101B-9397-08002B2CF9AE}">
    <vt:lpwstr/>
  </property>
  <property name="FSC#ATSTATECFG@1.1001:SubfileDate" pid="131" fmtid="{D5CDD505-2E9C-101B-9397-08002B2CF9AE}">
    <vt:lpwstr/>
  </property>
  <property name="FSC#ATSTATECFG@1.1001:SubfileSubject" pid="132" fmtid="{D5CDD505-2E9C-101B-9397-08002B2CF9AE}">
    <vt:lpwstr/>
  </property>
  <property name="FSC#ATSTATECFG@1.1001:DepartmentZipCode" pid="133" fmtid="{D5CDD505-2E9C-101B-9397-08002B2CF9AE}">
    <vt:lpwstr/>
  </property>
  <property name="FSC#ATSTATECFG@1.1001:DepartmentCountry" pid="134" fmtid="{D5CDD505-2E9C-101B-9397-08002B2CF9AE}">
    <vt:lpwstr/>
  </property>
  <property name="FSC#ATSTATECFG@1.1001:DepartmentCity" pid="135" fmtid="{D5CDD505-2E9C-101B-9397-08002B2CF9AE}">
    <vt:lpwstr/>
  </property>
  <property name="FSC#ATSTATECFG@1.1001:DepartmentStreet" pid="136" fmtid="{D5CDD505-2E9C-101B-9397-08002B2CF9AE}">
    <vt:lpwstr/>
  </property>
  <property name="FSC#CCAPRECONFIGG@15.1001:DepartmentON" pid="137" fmtid="{D5CDD505-2E9C-101B-9397-08002B2CF9AE}">
    <vt:lpwstr/>
  </property>
  <property name="FSC#CCAPRECONFIGG@15.1001:DepartmentWebsite" pid="138" fmtid="{D5CDD505-2E9C-101B-9397-08002B2CF9AE}">
    <vt:lpwstr/>
  </property>
  <property name="FSC#ATSTATECFG@1.1001:DepartmentDVR" pid="139" fmtid="{D5CDD505-2E9C-101B-9397-08002B2CF9AE}">
    <vt:lpwstr/>
  </property>
  <property name="FSC#ATSTATECFG@1.1001:DepartmentUID" pid="140" fmtid="{D5CDD505-2E9C-101B-9397-08002B2CF9AE}">
    <vt:lpwstr/>
  </property>
  <property name="FSC#ATSTATECFG@1.1001:SubfileReference" pid="141" fmtid="{D5CDD505-2E9C-101B-9397-08002B2CF9AE}">
    <vt:lpwstr/>
  </property>
  <property name="FSC#ATSTATECFG@1.1001:Clause" pid="142" fmtid="{D5CDD505-2E9C-101B-9397-08002B2CF9AE}">
    <vt:lpwstr/>
  </property>
  <property name="FSC#ATSTATECFG@1.1001:ApprovedSignature" pid="143" fmtid="{D5CDD505-2E9C-101B-9397-08002B2CF9AE}">
    <vt:lpwstr/>
  </property>
  <property name="FSC#ATSTATECFG@1.1001:BankAccount" pid="144" fmtid="{D5CDD505-2E9C-101B-9397-08002B2CF9AE}">
    <vt:lpwstr/>
  </property>
  <property name="FSC#ATSTATECFG@1.1001:BankAccountOwner" pid="145" fmtid="{D5CDD505-2E9C-101B-9397-08002B2CF9AE}">
    <vt:lpwstr/>
  </property>
  <property name="FSC#ATSTATECFG@1.1001:BankInstitute" pid="146" fmtid="{D5CDD505-2E9C-101B-9397-08002B2CF9AE}">
    <vt:lpwstr/>
  </property>
  <property name="FSC#ATSTATECFG@1.1001:BankAccountID" pid="147" fmtid="{D5CDD505-2E9C-101B-9397-08002B2CF9AE}">
    <vt:lpwstr/>
  </property>
  <property name="FSC#ATSTATECFG@1.1001:BankAccountIBAN" pid="148" fmtid="{D5CDD505-2E9C-101B-9397-08002B2CF9AE}">
    <vt:lpwstr/>
  </property>
  <property name="FSC#ATSTATECFG@1.1001:BankAccountBIC" pid="149" fmtid="{D5CDD505-2E9C-101B-9397-08002B2CF9AE}">
    <vt:lpwstr/>
  </property>
  <property name="FSC#ATSTATECFG@1.1001:BankName" pid="150" fmtid="{D5CDD505-2E9C-101B-9397-08002B2CF9AE}">
    <vt:lpwstr/>
  </property>
  <property name="FSC#COOELAK@1.1001:ObjectAddressees" pid="151" fmtid="{D5CDD505-2E9C-101B-9397-08002B2CF9AE}">
    <vt:lpwstr/>
  </property>
  <property name="FSC#COOELAK@1.1001:replyreference" pid="152" fmtid="{D5CDD505-2E9C-101B-9397-08002B2CF9AE}">
    <vt:lpwstr/>
  </property>
  <property name="FSC#COOELAK@1.1001:OfficeHours" pid="153" fmtid="{D5CDD505-2E9C-101B-9397-08002B2CF9AE}">
    <vt:lpwstr/>
  </property>
  <property name="FSC#COOELAK@1.1001:FileRefOULong" pid="154" fmtid="{D5CDD505-2E9C-101B-9397-08002B2CF9AE}">
    <vt:lpwstr/>
  </property>
  <property name="FSC#ATPRECONFIG@1.1001:ChargePreview" pid="155" fmtid="{D5CDD505-2E9C-101B-9397-08002B2CF9AE}">
    <vt:lpwstr/>
  </property>
  <property name="FSC#ATSTATECFG@1.1001:ExternalFile" pid="156" fmtid="{D5CDD505-2E9C-101B-9397-08002B2CF9AE}">
    <vt:lpwstr/>
  </property>
  <property name="FSC#ATPRECONFIG@1.1001:DispatchClause" pid="157" fmtid="{D5CDD505-2E9C-101B-9397-08002B2CF9AE}">
    <vt:lpwstr/>
  </property>
  <property name="FSC#ATPRECONFIG@1.1001:DepartmentZipCode_DepartmentCity" pid="158" fmtid="{D5CDD505-2E9C-101B-9397-08002B2CF9AE}">
    <vt:lpwstr/>
  </property>
  <property name="FSC#ATPRECONFIG@1.1001:DepartmentStreet_DepartmentZipCode_DepartmentCity" pid="159" fmtid="{D5CDD505-2E9C-101B-9397-08002B2CF9AE}">
    <vt:lpwstr/>
  </property>
  <property name="FSC#COOSYSTEM@1.1:Container" pid="160" fmtid="{D5CDD505-2E9C-101B-9397-08002B2CF9AE}">
    <vt:lpwstr>COO.2127.100.3.1976389</vt:lpwstr>
  </property>
  <property name="FSC#FSCFOLIO@1.1001:docpropproject" pid="161" fmtid="{D5CDD505-2E9C-101B-9397-08002B2CF9AE}">
    <vt:lpwstr/>
  </property>
</Properties>
</file>